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2010/19 vom 1. Februar 2010</w:t>
      </w:r>
    </w:p>
    <w:p>
      <w:r>
        <w:t>Bundesverwaltungsgericht, 2010-02-01, DE</w:t>
      </w:r>
    </w:p>
    <w:p>
      <w:r>
        <w:rPr>
          <w:b/>
        </w:rPr>
        <w:t xml:space="preserve">Quelle: </w:t>
      </w:r>
      <w:r>
        <w:t>https://mcp.opencaselaw.ch/entscheid/bvger_BVGE 2010_19</w:t>
      </w:r>
    </w:p>
    <w:p>
      <w:r>
        <w:t>FR: TAF BVGE 2010/19 du 1 février 2010</w:t>
      </w:r>
    </w:p>
    <w:p>
      <w:r>
        <w:t>IT: TAF BVGE 2010/19 del 1 febbraio 2010</w:t>
      </w:r>
    </w:p>
    <w:p>
      <w:pPr>
        <w:pStyle w:val="Heading2"/>
      </w:pPr>
      <w:r>
        <w:t>Regeste</w:t>
      </w:r>
    </w:p>
    <w:p>
      <w:r>
        <w:t>Zugang zu Fernmeldenetzen</w:t>
      </w:r>
    </w:p>
    <w:p>
      <w:pPr>
        <w:pStyle w:val="Heading2"/>
      </w:pPr>
      <w:r>
        <w:t>Erwägungen</w:t>
      </w:r>
    </w:p>
    <w:p>
      <w:r>
        <w:rPr>
          <w:b/>
        </w:rPr>
        <w:t>E. 2</w:t>
      </w:r>
    </w:p>
    <w:p>
      <w:r>
        <w:t>Die Beschwerdeführerin hat ihr Rechtsbegehren im Rahmen der Replik angepasst und die von einer der beantragten Drittwirkungsklauseln betroffene Zeitspanne ausgedehnt. Hierzu führt sie aus, sie habe ihr Rechtsbegehren ursprünglich auf die Zeit ab dem 1. Januar 2009 beschränkt, da die hier strittigen Preise für die vorangegangenen Perioden auf Gesuch der Beschwerdegegnerin hin bereits behördlich festgelegt worden seien. Nun seien aber in einem Gesuchsverfahren einer anderen FDA die von der Beschwerdeführerin nicht bestrittenen Preise für die Dienstleistung « Transit to (...) Access Services » behördlich festgesetzt und von ihr angefochten worden (vgl. BVGE 2010/20). Es rechtfertige sich daher, die Drittwirkungsklausel auf den Beginn der in jenem Verfahren umstrittenen Periode zurückzubeziehen.</w:t>
      </w:r>
    </w:p>
    <w:p>
      <w:r>
        <w:rPr>
          <w:b/>
        </w:rPr>
        <w:t>E. 2.1</w:t>
      </w:r>
    </w:p>
    <w:p>
      <w:r>
        <w:t>Es ist damit vorab zu prüfen, ob die Beschwerdeführerin mit dieser Änderung den Streitgegenstand ausgedehnt hat und ob dies zulässig ist. Die in der Beschwerde beantragte Drittwirkungsklausel würde bei Verfügungen der ComCom in einem Verfahren mit Dritten betreffend die seit dem 1. Januar 2009 geltenden Preise eine Nach- oder Rückzahlungspflicht statuieren, beim geänderten Rechtsbegehren würde eine solche auch bei Verfügungen betreffend eine frühere Periode ausgelöst. Mit dem Beschwerdeantrag wird der Streitgegenstand im Verfahren vor dem BVGer bestimmt. Im Laufe des Verfahrens kann sich der Streitge genstand dem Grundsatz nach höchstens verengen, nicht aber ausweiten (ANDRÉ MOSER/MICHAEL BEUSCH/LORENZ KNEUBÜHLER, Prozessieren vor dem Bundesverwaltungsgericht, Basel 2008, Rz. 2.213).</w:t>
      </w:r>
    </w:p>
    <w:p>
      <w:r>
        <w:rPr>
          <w:b/>
        </w:rPr>
        <w:t>E. 2.2</w:t>
      </w:r>
    </w:p>
    <w:p>
      <w:r>
        <w:t>Im vorliegenden Fall wird zwar eine Ausdehnung der vom Rechtsbegehren betroffenen Zeitspanne verlangt. Die von der Beschwerdeführerin verlangte zeitliche Begrenzung der Drittwirkung ist indessen eine Beschränkung der von der Vorinstanz als zeitlich unbegrenzt betrachteten Drittwirkung. Wird die von der anbegehrten Drittwirkungsklausel umfasste Zeitspanne ausgedehnt, nähert sich die Beschwerdeführerin in diesem Umfang der Auffassung der Vorinstanz an. Die zeitliche Ausdehnung der Rückwirkung von behördlichen Preisfestsetzungen in Drittverfahren ist somit für die Beschwerdeführerin - bezogen auf Rückforderungen - nicht ein Mehr, sondern ein Weniger. Die Änderung des Rechtsbegehrens stellt damit faktisch nicht eine Ausdehnung, sondern eine Verengung des Streitgegenstandes dar.</w:t>
      </w:r>
    </w:p>
    <w:p>
      <w:r>
        <w:rPr>
          <w:b/>
        </w:rPr>
        <w:t>E. 2.3</w:t>
      </w:r>
    </w:p>
    <w:p>
      <w:r>
        <w:t>Die Änderung des Rechtsbegehrens der Beschwerdeführerin in der Replik erweist sich damit als zulässig.</w:t>
      </w:r>
    </w:p>
    <w:p>
      <w:r>
        <w:rPr>
          <w:b/>
        </w:rPr>
        <w:t>E. 3.1</w:t>
      </w:r>
    </w:p>
    <w:p>
      <w:r>
        <w:t>Die Beschwerdeführerin beantragt in verfahrensrechtlicher Hinsicht, die strittige Frage der Marktbeherrschung im Zusammenhang mit der Regulierung der Preise für Supplementary Services for Preselection sei von der Abteilung II des BVGer zu beurteilen. Sie führt aus, es handle sich zwar um ein fernmelderechtliches Verfahren, strittig sei jedoch die Frage der Marktbeherrschung und damit die Preisregulierung als solche. Diese Frage sei kartellrechtlicher Natur und müsse auch im Beschwerdeverfahren einheitlich ausgelegt werden. Es bestehe ein Anspruch auf Behandlung der Beschwerde durch die zuständige Fachabteilung. Die Beschwerdegegnerin und die Vorinstanz wenden sich gegen diesen Verfahrensantrag. Die Vorinstanz bringt vor, die marktbeherrschende Stellung der Beschwerdeführerin sei lediglich vorfrageweise zu prüfen, massgebend für die Zuordnung an die Abteilungen sei das Schwergewicht der zu beurteilenden Rechtsfragen, welches im fernmelderechtlichen Bereich liege. Das Fernmelderecht sei hinsichtlich wettbewerbsrechtlich relevanter Fragen auf das Kartellrecht abzustimmen. Das Fernmeldegesetz vom 30. April 1997 (FMG, SR 784.10) bezwecke, in einem bislang monopolisierten Markt Marktmacht abzubauen und Wettbewerb zu erzielen. Angesichts dieser Besonderheiten im Fernmeldemarkt könne die Beurteilung wettbewerbsrechtlicher Fragen nur vor dem Hintergrund des Fernmelderechts erfolgen und setze spezifisches Fachwissen voraus. Die Zuordnung an die Abteilung I des Gerichts sei daher sachgerecht. Die Beschwerdegegnerin fügt an, eine Aufteilung der Zuständigkeit der Abteilungen innerhalb eines Verfahrens sei nicht vorgesehen. Die Zuordnung an die Abteilung I entspreche der gesetzlichen Konzeption des Zugangsverfahrens, bei welchem die ComCom, also die fernmelderechtliche Fachbehörde, als Leitbehörde bestimmt worden sei und die Stellungnahme der wettbewerbsrechtlichen Fachbehörde einzuholen und zu berücksichtigen habe.</w:t>
      </w:r>
    </w:p>
    <w:p>
      <w:r>
        <w:rPr>
          <w:b/>
        </w:rPr>
        <w:t>E. 3.2</w:t>
      </w:r>
    </w:p>
    <w:p>
      <w:r>
        <w:t>Art. 24 des Geschäftsreglements vom 17. April 2008 für das Bundesverwaltungsgericht (VGR, SR 173.320.1) regelt die Zuständigkeiten der Abteilungen des BVGer: Nach Abs. 1 behandelt die erste Abteilung Geschäfte, die ihren Schwerpunkt in den Bereichen Infrastruktur, Umwelt, Abgaben und Personal haben. Nach Abs. 2 fallen Geschäfte mit Schwerpunkt in den Bereichen Wirtschaft, Wettbewerb und Bildung in den Zuständigkeitsbereich der zweiten Abteilung. Im Einzelnen ist die Geschäftsverteilung im Anhang VGR geregelt. Demnach werden der Abteilung I Geschäfte im Rechtsgebiet des Post- und Fernmeldewesens zugeteilt. Kartellrechtliche Beschwerdeverfahren beurteilt die Abteilung II.</w:t>
      </w:r>
    </w:p>
    <w:p>
      <w:r>
        <w:rPr>
          <w:b/>
        </w:rPr>
        <w:t>E. 3.3</w:t>
      </w:r>
    </w:p>
    <w:p>
      <w:r>
        <w:t>Art. 30 Abs. 1 der Bundesverfassung der Schweizerischen Eidgenossenschaft vom 18. April 1999 (BV, SR 101) gibt den Parteien einen Anspruch auf Beurteilung ihrer Sache durch ein durch Gesetz geschaffenes Gericht. Dieser Anspruch auf den gesetzlichen Richter bezieht sich auch auf die Besetzung der richterlichen Behörde ( GEROLD STEINMANN, in: Bernhard Ehrenzeller/Philippe Mastronardi/Rainer J. Schweizer/Klaus A. Vallender [Hrsg.], Die schweizerische Bundesverfassung, Kommentar, Zürich 2002, N. 8 zu Art. 30). Obwohl Art. 24 VGR primär eine interne, organisatorische Regelung des BVGer darstellt, hat die Beschwerdeführerin vor dem Hintergrund von Art. 30 Abs. 1 BV grundsätzlich Anspruch auf Beachtung der Regeln zur Geschäftszuweisung. Es ist aber festzuhalten, dass die Zuordnung an die Abteilung I sowie die Zusammensetzung des Spruchkörpers den Verfahrensbeteiligten bereits mit der Eingangsbestätigung mitgeteilt und eine Ablehnungsfrist gesetzt wurde, welche die Beschwerdeführerin ungenutzt verstreichen liess. Ein den Anforderungen von Art. 30 Abs. 1 BV nicht genügender Richter kann abgelehnt werden, Ablehnungsgründe sind aber nach Treu und Glauben sofort geltend zu machen, andernfalls verwirken sie ( STEINMANN, a. a. O., N. 16 zu Art. 30; vgl. auch Urteil des BVGer A-1936/2006 vom 10. Dezember 2009 E. 13.1). Im Zeitpunkt der Eingangsbestätigung war der Beschwerdeführerin bereits bekannt, dass die Frage der marktbeherrschenden Stellung zu beurteilen sein wird. Die angebliche Zuständigkeit der Abteilung II hätte deshalb innerhalb der Ablehnungsfrist geltend gemacht werden können. Ein allfälliger Anspruch der Beschwerdeführerin auf Zuteilung der Streitsache an die Abteilung II wäre deshalb verwirkt.</w:t>
      </w:r>
    </w:p>
    <w:p>
      <w:r>
        <w:rPr>
          <w:b/>
        </w:rPr>
        <w:t>E. 3.4</w:t>
      </w:r>
    </w:p>
    <w:p>
      <w:r>
        <w:t>Der Verfahrensantrag erscheint aber auch inhaltlich unbegründet. Art. 23 VGR sieht vor, dass für die Zuteilung von Streitigkeiten auf die Abteilungen die Rechtsfrage massgebend ist, auf der das Schwergewicht der Entscheidung liegt. Im VGR wurde damit anerkannt, dass eine Streitigkeit die Rechtsgebiete verschiedener Abteilungen betreffen kann. Gleichzeitig wurde auf eine Aufteilung solcher Verfahren verzichtet.</w:t>
      </w:r>
    </w:p>
    <w:p>
      <w:r>
        <w:rPr>
          <w:b/>
        </w:rPr>
        <w:t>E. 3.4.1</w:t>
      </w:r>
    </w:p>
    <w:p>
      <w:r>
        <w:t>Inhaltlich ist der Vorinstanz zuzustimmen, dass das Schwergewicht der zu beurteilenden Fragen im Bereich des Fernmelderechts liegt. So bestreitet die Beschwerdeführerin nicht bloss ihre marktbeherrschende Stellung, sondern behauptet vielmehr, bei den fraglichen Zusatzdiensten handle es sich gar nicht um der Regulierung im Sinne der Art. 3 e und Art. 11 Abs. 1 Bst. d FMG unterstehende IC. Zwar ist auch die Marktstellung der Beschwerdeführerin zu beurteilen; dies erfolgt aber vorfrageweise im Hinblick auf die eigentliche Frage der fernmelderechtlichen Zugangsregulierung. Dem entspricht auch die gesetzliche Konzeption des Zugangsverfahrens. Der Entscheid über Zugangsstreitigkeiten liegt gemäss Art. 11a FMG in der Kompetenz der Vorinstanz. Dabei sieht Art. 11a Abs. 2 FMG vor, dass diese gegebenenfalls die Wettbewerbskommission (WEKO) zur Frage der marktbeherrschenden Stellung konsultiert. Zudem geht es bei der Frage der marktbeherrschenden Stellung um Fragen der Angebotssubstituierbarkeit fernmeldetechnischer Dienstleistungen und damit schwergewichtig um sektorspezifische Fragen.</w:t>
      </w:r>
    </w:p>
    <w:p>
      <w:r>
        <w:rPr>
          <w:b/>
        </w:rPr>
        <w:t>E. 3.4.2</w:t>
      </w:r>
    </w:p>
    <w:p>
      <w:r>
        <w:t>Der Gesetzgeber hat sich bewusst dafür entschieden, die Zugangsregulierung nicht auf das Kartellgesetz vom 6. Oktober 1995 (KG, SR 251) abzustützen und den Wettbewerbsbehörden zur Anwendung zu überlassen, sondern aufgrund der technischen Komplexität bei der IC einer spezialisierten unabhängigen Behörde - der ComCom - zu übertragen ( PIERRE RIEDER, in: Rolf H. Weber [Hrsg.], Wettbewerbsrecht und Telekommunikation, Neues Fernmelderecht, Zürich 1998, S. 170). Um sicherzustellen, dass die Anwendung des Begriffs der marktbeherrschenden Stellung im Einklang mit dem Wettbewerbsrecht erfolgt und nicht unterschiedliche Behörden eine unterschiedliche Praxis für gleiche Tatbestände entwickeln, konsultiert die ComCom die WEKO (Botschaft zur Änderung des Fernmeldegesetzes [FMG] vom 12. November 2003 [BBl 2003 I 7951], nachfolgend: Botschaft zum FMG).</w:t>
      </w:r>
    </w:p>
    <w:p>
      <w:r>
        <w:rPr>
          <w:b/>
        </w:rPr>
        <w:t>E. 3.4.3</w:t>
      </w:r>
    </w:p>
    <w:p>
      <w:r>
        <w:t>Diesem Bedürfnis nach einer einheitlichen Praxis wird im Übrigen auch im Beschwerdeverfahren durch Massnahmen zur Koordination der Rechtsprechung Rechnung getragen. Hat eine Abteilung des BVGer eine Rechtsfrage zu entscheiden, die mehrere Abteilungen betrifft, holt sie gemäss Art. 25 Abs. 2 des Verwaltungsgerichtsgesetzes vom 17. Juni 2005 (VGG, SR 173.32) die Zustimmung der Vereinigung aller betroffener Abteilungen ein, sofern dies für die Rechtsfortbildung oder die Einheit der Rechtsprechung angezeigt erscheint. Sollten bei der Beurteilung der marktbeherrschenden Stellung für die Rechtsfortbildung wesentliche Fragen zu beantworten sein oder eine Praxisänderung ins Auge gefasst werden, wäre dies mit der Abteilung II zu koordinieren.</w:t>
      </w:r>
    </w:p>
    <w:p>
      <w:r>
        <w:rPr>
          <w:b/>
        </w:rPr>
        <w:t>E. 3.4.4</w:t>
      </w:r>
    </w:p>
    <w:p>
      <w:r>
        <w:t>Weiter ist festzuhalten, dass Art. 24 VGR keinen ausschliesslichen Anspruch auf Zuteilung nach dem Schwerpunkt der Rechtsfragen vorsieht. Gemäss Art. 24 Abs. 2 VGR kann von diesem Grundsatz aufgrund der Natur des Geschäftes oder dem Zusammenhang mit andern Geschäften abgewichen werden. Selbst wenn angenommen würde, der Schwerpunkt des (Teil-)verfahrens betreffend die Supplementary Services falle unter die Rechtsgebiete der Abteilung II, wäre die Angelegenheit aufgrund des engen Sachzusammenhangs mit den übrigen im vorliegenden Fall zu beurteilenden - unbestrittenermassen fernmelderechtlichen - Fragen der Zugangsregulierung von der Abteilung I zu beurteilen. Es liegt in der Natur der Sache, dass bei der Beurteilung von Rechtsstreitigkeiten aus dem Zuständigkeitsbereich der einen Abteilung des BVGer immer wieder Themen zu prüfen sind, die primär einer anderen Abteilung zugewiesen sind. Die vorliegende Konstellation, in welcher die Abteilung I Fragen wettbewerbsrechtlicher Natur zu beantworten hat, ist im Übrigen nicht singulär (vgl. etwa BVGE 2009/63) und rechtfertigt weder eine ganze noch teilweise Behandlung durch die auf das Wirtschaftsrecht spezialisierte Abteilung II.</w:t>
      </w:r>
    </w:p>
    <w:p>
      <w:r>
        <w:rPr>
          <w:b/>
        </w:rPr>
        <w:t>E. 3.5</w:t>
      </w:r>
    </w:p>
    <w:p>
      <w:r>
        <w:t>Der Antrag der Beschwerdeführerin auf Zuweisung von Teilen des Verfahrens an die Abteilung II ist schliesslich auch deshalb abzuweisen, weil eine Zuständigkeitsgabelung nicht nur der rechtlichen Zuteilungskonzeption nach Art. 23 VGR, sondern auch prozessökonomischen Gedanken widersprechen würde.</w:t>
      </w:r>
    </w:p>
    <w:p>
      <w:r>
        <w:rPr>
          <w:b/>
        </w:rPr>
        <w:t>E. 4</w:t>
      </w:r>
    </w:p>
    <w:p>
      <w:r>
        <w:t>Die Beschwerdeführerin weist weiter in ihrer Replik darauf hin, dass dem BVGer volle Kognition zukomme, und fordert unter Hinweis auf ein Gutachten, das Gericht habe seine Kognition auszuschöpfen und bei der Auslegung von unbestimmten Rechtsbegriffen eine umfassende Kontrolle zu praktizieren. Sie verweist auf das Urteil des BVGer A-109/2008 vom 12. Februar 2009 (BVGE 2009/35) und bringt vor, das Gericht sei in diesem Entscheid seiner Begründungspflicht nicht nachgekommen und habe seine Kognition nicht ausgeschöpft. Jener Entscheid dürfe diesbezüglich keinen Präjudizcharakter erhalten. So sei namentlich uneingeschränkt zu prüfen, ob die Drittwirkung von behördlichen Preisverfügungen zwingendes Recht darstelle, ob die Vorinstanz berechtigt sei, in Verträge mit Dritten einzugreifen und ob sie einen Antrag der Beschwerdeführerin habe abweisen dürfen, kostenorientierte Preise zu verfügen. Sie hält fest, bei den zu beurteilenden Rechtsfragen komme der Vorinstanz kein Handlungsspielraum zu, eine Zurückhaltung bei der Überprüfung der Ermessensausübung und der Auslegung unbestimmter Rechtsbegriffe sei daher nicht angebracht.</w:t>
      </w:r>
    </w:p>
    <w:p>
      <w:r>
        <w:rPr>
          <w:b/>
        </w:rPr>
        <w:t>E. 4.1</w:t>
      </w:r>
    </w:p>
    <w:p>
      <w:r>
        <w:t>Zunächst ist festzuhalten, dass das BVGer seine Prüfungszuständigkeit kennt und wahrnimmt. Die Kognition ist gesetzlich vorgegeben und unabhängig von den Anträgen der Parteien zu beachten. Die Beschwerdeführerin hat denn auch zu Recht keine die Kognition betreffenden Anträge gestellt. Der Vollständigkeit halber sind aber die von Lehre und Rechtsprechung entwickelten Grundsätze zur Prüfungszuständigkeit des Gerichts darzulegen.</w:t>
      </w:r>
    </w:p>
    <w:p>
      <w:r>
        <w:rPr>
          <w:b/>
        </w:rPr>
        <w:t>E. 4.2</w:t>
      </w:r>
    </w:p>
    <w:p>
      <w:r>
        <w:t>Das BVGer überprüft die Angemessenheit behördlichen Handelns an sich frei (Art. 37 VGG i. V. m. Art. 49 des Bundesgesetzes vom 20. Dezember 1968 über das Verwaltungsverfahren [VwVG, SR 172.021]). Nach der Rechtsprechung hat aber auch eine Rechtsmittelbehörde, der volle Kognition zusteht, in Ermessensfragen einen Entscheidungsspielraum der Vorinstanz zu respektieren. Das BVGer übt daher Zurückhaltung und greift nicht leichthin in Ermessensentscheide der Vorinstanz ein, wenn sich diese durch besonderen Sachverstand auszeichnet und wenn sie über einen gewissen Handlungsspielraum verfügen muss. Es hat eine unangemessene Entscheidung zu korrigieren, muss aber der Vorinstanz die Wahl unter mehreren angemessenen Lösungen überlassen. Wenn es um die Beurteilung von Spezialfragen geht, in denen die Vorinstanz über ein besonderes Fachwissen verfügt, weicht es nicht leichthin von der Auffassung der Vorinstanz ab (vgl. ALFRED KÖLZ/ISABELLE HÄNER, Verwaltungsverfahren und Verwaltungsrechtspflege des Bundes, 2. Aufl., Zürich 1998, Rz. 644 f.; ULRICH HÄFELIN/GEORG MÜLLER/FELIX UHLMANN, Allgemeines Verwaltungsrecht, 5. Aufl., Zürich/Basel/Genf 2006, Rz. 460 f. und 473 f. mit Hinweisen; BGE 133 II 35 E. 3, BGE 130 II 449 E. 4.1 mit Hinweisen, BGE 129 II 331 E. 3.2). Das Bundesgericht (BGer) hat erst kürzlich (BGE 135 II 296 E. 4.4.3) bestätigt, es sei zulässig, wenn sich das BVGer bei der Überprüfung unbestimmter Rechtsbegriffe eine gewisse Zurückhaltung auferlege und nicht leichthin in den Beurteilungsspielraum der fachlich verantwortlichen Vorinstanz eingreife. Auch eine Rechtsmittelbehörde, der volle Kognition zusteht, soll in Gewichtungsfragen den Beurteilungsspielraum der Vorinstanz respektieren. Sie muss zwar eine unangemessene Entscheidung korrigieren, darf aber die Wahl unter mehreren sachgerechten Lösungen der Vorinstanz überlassen. Wenn es um die Beurteilung technischer oder wirtschaftlicher Spezialfragen geht, kann sie sich eine gewisse Zurückhaltung auferlegen, ohne damit ihre Kognition in unzulässiger Weise zu beschränken. Vorliegend kommt der Vorinstanz beziehungsweise dem mit der Instruktion des Verfahrens betrauten Bundesamt für Kommunikation (BAKOM) ein ausgeprägtes Fachwissen in fernmeldetechnischen Fragen sowie bei der Beurteilung der ökonomischen Gegebenheiten im Telekommunikationsmarkt zu. Das BVGer kann auf kein gleichwertiges Fachwissen zurückgreifen (vgl. dazu auch BGE 132 II 257 E. 3.2 sowie die auf einem von der Beschwerdeführerin im vorliegenden Verfahren eingereichten Gutachten basierenden Ausführungen in MARKUS MÜLLER/RETO FELLER, Die Prüfungszuständigkeit des Bundesverwaltungsgerichts, Schweizerisches Zentralblatt für Staats- und Verwaltungsrecht 2009, S. 442 ff., S. 453 f.).</w:t>
      </w:r>
    </w:p>
    <w:p>
      <w:r>
        <w:rPr>
          <w:b/>
        </w:rPr>
        <w:t>E. 4.3</w:t>
      </w:r>
    </w:p>
    <w:p>
      <w:r>
        <w:t>Das BVGer hat die sich stellenden Fragen grundsätzlich frei zu prüfen. Uneingeschränkt zu prüfen hat es, ob die Vorinstanz den Sachverhalt korrekt festgestellt, die für den Entscheid wesentlichen Gesichtspunkte geprüft, die erforderlichen Abklärungen sorgfältig und umfassend vorgenommen hat und sich dabei von sachkonformen Erwägungen hat leiten lassen. Es hat sich dagegen dort eine gewisse Zurückhaltung aufzuerlegen, wo der Vorinstanz angesichts der sich stellenden Fachfragen ein erheblicher Handlungsspielraum belassen wurde. Dabei variiert der Grad der Zurückhaltung im Einzelfall je nach der Natur der sich stellenden Fragen und dem erforderlichen Fachwissen der Vorinstanz. Ob ein solcher Handlungsspielraum der Vorinstanz besteht, ist gegebenenfalls nachfolgend im Rahmen der Prüfung der einzelnen Rügen zu beurteilen.</w:t>
      </w:r>
    </w:p>
    <w:p>
      <w:r>
        <w:rPr>
          <w:b/>
        </w:rPr>
        <w:t>E. 4.4</w:t>
      </w:r>
    </w:p>
    <w:p>
      <w:r>
        <w:t>Festzuhalten ist, dass auch in Bereichen, in denen sich das BVGer Zurückhaltung auferlegt, nicht auf eine Prüfung verzichtet wird, sondern diese lediglich mit einer reduzierten Prüfungsdichte erfolgt. Dabei verlangt die Begründungspflicht, dass die vorgenommene Angemessenheitskontrolle in der Urteilsbegründung nachvollzogen werden kann. Diese Grundsätze waren bereits bisher für das BVGer wegleitend und werden auch bei der nachfolgenden Auseinandersetzung mit den Beschwerden massgebend sein.</w:t>
      </w:r>
    </w:p>
    <w:p>
      <w:r>
        <w:rPr>
          <w:b/>
        </w:rPr>
        <w:t>E. 5</w:t>
      </w:r>
    </w:p>
    <w:p>
      <w:r>
        <w:t>Zu beurteilen ist im vorliegenden Verfahren zunächst die Frage, ob die Vorinstanz verpflichtet gewesen wäre, im IC-Verfahren eine Klausel betreffend die Wirkung von regulatorischen Verfügungen in Verfahren mit Dritten zu verfügen beziehungsweise ob sie berechtigt war, im TAL- und im KOL-Verfahren eine vereinbarte Drittwirkungsklausel aufzuheben (...) und die Drittwirkung einer Anordnung im vorliegenden Verfahren auf Verträge mit Dritten zu verfügen (E. 11). Weiter ist zu untersuchen, ob und gegebenenfalls in welcher Höhe der Zinssatz für preisänderungsbedingte Nach- und Rückzahlungen behördlich festzusetzen ist (E. 12) und ob eine kostenorientierte Festsetzung der Preise für die Implementierung der Nummernportierungsroutingnummer auf einem höheren Preisniveau als von der Beschwerdeführerin ursprünglich offeriert zulässig ist (E. 13). Schliesslich ist zu beurteilen, ob die Vorinstanz berechtigt war, die Preise für die hier strittigen Supplementary Services for Carrier Preselection zu verfügen (E. 14).</w:t>
      </w:r>
    </w:p>
    <w:p>
      <w:r>
        <w:rPr>
          <w:b/>
        </w:rPr>
        <w:t>E. 6</w:t>
      </w:r>
    </w:p>
    <w:p>
      <w:r>
        <w:t>Die angefochtenen Verfügungen der Vorinstanz stützen sich auf Art. 11 und Art. 11a FMG. Gemäss Art. 11 Abs. 1 FMG müssen marktbeherrschende Anbieterinnen von Fernmeldediensten anderen Anbieterinnen in verschiedenen, im Gesetz aufgezählten Formen auf transparente und nicht diskriminierende Weise zu kostenorientierten Preisen Zugang zu ihren Einrichtungen und zu ihren Diensten gewähren. Einigen sich die Anbieterinnen von Fernmeldediensten nicht innerhalb von drei Monaten über die Bedingungen des Zugangs, so verfügt die Vorinstanz diese gemäss Art. 11a Abs. 1 FMG auf Gesuch einer Partei und auf Antrag des Bundesamtes. Dabei berücksichtigt sie insbesondere die Bedingungen, die einen wirksamen Wettbewerb fördern, sowie die Auswirkungen ihres Entscheides auf konkurrierende Einrichtungen.</w:t>
      </w:r>
    </w:p>
    <w:p>
      <w:r>
        <w:rPr>
          <w:b/>
        </w:rPr>
        <w:t>E. 7</w:t>
      </w:r>
    </w:p>
    <w:p>
      <w:r>
        <w:t>9.1.3 (...) 9.2 Die Vorinstanz stützt ihre Auffassung, dass eine Drittwirkung von Gesetzes wegen gelte, auf das Gebot, nichtdiskriminierende Preise zu gewähren. Es ist damit durch Auslegung der Gehalt des Begriffs der Diskriminierung im Sinne von Art. 11 Abs. 1 FMG festzustellen. Ausgangspunkt jeder Auslegung bildet der Wortlaut der Bestimmung. Ist der Text nicht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Das BGer hat sich bei der Auslegung von Erlassen stets von einem Methodenpluralismus leiten lassen und nur dann allein auf das grammatische Element abgestellt, wenn sich daraus zweifelsfrei die sachlich richtige Lösung ergab (BGE 131 II 697 E. 4.1). 9.3 Art. 11 Abs. 1 FMG verlangt, dass eine marktbeherrschende Anbieterin den übrigen FDA auf transparente und nicht diskriminierende Weise zu kostenorientierten Preisen Zugang gewährt. 9.3.1 Diskriminierung bezeichnet eine Herabsetzung, Herabwürdigung oder ungleiche Behandlung (PETER METZGER, Schweizerisches Juristisches Wörterbuch, Nachdruck Basel 2005, S. 143). In der Volkswirtschaftslehre findet der Begriff der Diskriminierung namentlich im Zusammenhang mit der Preisgestaltung Anwendung. Eine Preisdiskriminierung liegt vor, wenn ein Unternehmen für gleiche oder gleichartige Produkte unterschiedliche Preise verlangt, die sich nicht durch sachliche Rechtfertigungsgründe (z. B. durch Kostenunterschiede) begründen lassen und wenn Handelspartner dadurch im Wettbewerb benachteiligt werden (BRUNO SCHMIDHAUSER, in: Eric Homburger/Bruno Schmidhauser/Franz Hoffet/Patrick Ducrey [Hrsg.], Kommentar zum schweizerischen Kartellgesetz, Zürich 1996, Art. 7 Abs. 2 KG, Rz. 112). Der Wortlaut der Bestimmung allein beantwortet die Frage, wieweit sich eine behördliche Festsetzung der Preise auf Vertragsverhältnisse mit Dritten auswirkt, nicht. 9.3.2 Im Sinne einer historischen Auslegung ist der Sinn der Bestimmung zu ermitteln, wie er ihr im Gesetzgebungsverfahren beigemessen wurde. Dem historischen Willen des Gesetzgebers, wie er anhand der Materialen der gesetzgeberischen Vorarbeiten zu ermitteln ist, kommt gerade bei verhältnismässig jungen Gesetzen, wie dem vorliegenden, eine erhebliche Bedeutung zu. Er ist bei der Ermittlung des Gesetzeszwecks zu berücksichtigen (ULRICH HÄFELIN/GEORG MÜLLER/FELIX UHLMANN, Allgemeines Verwaltungsrecht, 5. Aufl., Zürich/Basel/Genf 2006, Rz. 218). Der Bundesrat (BR) äussert sich in der Botschaft zum FMG (BBl 2003 I 7951 ff., 8002) - im Zusammenhang mit der Vereinbarkeit des vorgeschlagenen Regulierungsverfahrens mit dem europäischen Recht - zur Wirkung der Entscheide der ComCom. Er führt aus, diese dürfe die Bedingungen der IC nur dann festlegen, wenn die Parteien auf dem Verhandlungsweg keine Einigung erzielt hätten. Die Vertragsfreiheit gehe dem behördlichen Eingriff vor, zumal auch während des Instruktionsverfahrens noch versucht werden soll, zwischen den Parteien zu vermitteln. Weiter wird ausgeführt, der Nachteil dieses Systems liege darin, dass die Interkonnektionsbedingungen erst nach Ablauf von mehrjährigen Verfahren feststünden und nur zwischen den an diesen Verfahren beteiligten Parteien gelten würden. Der BR ging damit davon aus, dass die Entscheide der ComCom zumindest keine direkte Drittwirkung entfalten. Der revidierte Art. 11 FMG wurde, soweit vorliegend relevant, in den parlamentarischen Beratungen diskussionslos übernommen. 9.3.3 Weiter ist der Gehalt von Art. 11 FMG aufgrund von Sinn und Zweck der Norm zu ermitteln (teleologische Auslegungsmethode). Grundgedanke des FMG ist die Liberalisierung des Fernmeldemarktes beziehungsweise die Ermöglichung wirksamen Wettbewerbs (Art. 1 Abs. 2 Bst. c FMG). Das gleiche Ziel verfolgt auch das allgemeine Wettbewerbsrecht gemäss KG. Es ist damit zu prüfen, inwiefern sich die Zwecksetzung der Regulierung des FMG von derjenigen des KG unterscheidet und welche Folgen dies auf die Modalitäten der Zugangsregulierung hat. 9.3.3.1 Art. 7 Abs. 2 Bst. b KG verbietet marktmächtigen Unternehmen die Diskriminierung von Handelspartnern bei Preisen oder andern Geschäftsbedingungen. Es ist zu prüfen, ob und wieweit sich das Diskriminierungsverbot des allgemeinen Wettbewerbsrechts mit dem vorliegend zu beurteilenden sektorspezifischen Diskriminierungsverbot gleichsetzen lässt. Eine unzulässige Preisdiskriminierung liegt dann vor, wenn ein marktbeherrschendes Unternehmen von seinen Kunden ohne sachliche Rechtfertigung unterschiedliche Preise verlangt ( PETER REINERT, in: Baker/ Mc Kenzie [Hrsg.], Stämpflis Handkommentar SHK - Kartellgesetz, Bundesgesetz über Kartelle und andere Wettbewerbsbeschränkungen, Bern 2007, Art. 7 N 18). Das wettbewerbsrechtliche Diskriminierungsverbot alleine würde im vorliegenden Fall mithin nicht zwingend verlangen, allen FDA die gleichen Preise zu offerieren. Es verlangt lediglich, dass Differenzierungen nur getroffen werden, sofern sie wirtschaftlich gerechtfertigt sind. 9.3.3.2 Das Kartellrecht sieht keine behördliche Festsetzung von Preisen im Rahmen eines Regulierungsverfahrens wie in Art. 11 a FMG vor. Eine Verletzung des Diskriminierungsverbots oder die Durchsetzung überhöhter Preise kann zwar ebenfalls in einem verwaltungsrechtlichen Verfahren vor der WEKO geltend gemacht werden. Stellt die WEKO ein wettbewerbswidriges Verhalten im Sinne von Art. 7 KG fest, erlässt sie indessen keine privatrechtsgestaltende Verfügung, sondern verpflichtet die marktbeherrschende Anbieterin unter Androhung von Sanktionen zu wettbewerbskonformem Verhalten. Eine solche Anordnung wirkt ex nunc, für eine rückwirkende Änderung der Verhältnisse sind die Parteien auf den Zivilrechtsweg verwiesen (MANI REINERT, Preisgestaltung, in: Thomas Geiser/Patrick Krauskopf/Peter Münch [Hrsg.], Schweizerisches und europäisches Wettbewerbsrecht, Basel 2005, S. 163 f.). Die Feststellung der Widerrechtlichkeit im kartellverwaltungsrechtlichen Verfahren ist in einem nachgelagerten Zivilprozess grundsätzlich verbindlich (ANNE-CATHERINE HAHN, in: Baker/Mc Kenzie [Hrsg.], Stämpflis Handkommentar SHK - Kartellgesetz, Bundesgesetz über Kartelle und andere Wettbewerbsbeschränkungen, Bern 2007, Art. 12 N 7). Die zivilrechtlichen Folgen einer festgestellten kartellrechtlichen Unzulässigkeit sind im KG nicht klar geregelt, nach herrschender Meinung ist davon auszugehen, dass unzulässige Vereinbarungen automatisch als widerrechtlich und damit als ex tunc nichtig zu qualifizieren sind (HAHN, a. a. O., Art. 1 N 21 mit Hinweisen). Zivilrechtliche Ansprüche können - bei gegebenen Voraussetzungen - in Form von Rückerstattungsansprüchen nach den Grundsätzen der ungerechtfertigten Bereicherung (Art. 61 ff. OR; vgl. dazu HAHN, a. a. O., Art. 12 N 25), Schadenersatz und Genugtuung gemäss Art. 41 ff. und Art. 49 OR (Art. 12 Abs. 1 Bst. b KG; HAHN, a. a. O., Art. 12 N 35) sowie Herausgabe eines unrechtmässigen Gewinns gemäss Art. 423 Abs. 1 OR (Art. 12 Abs. 1 Bst. c KG; HAHN, a. a. O., Art. 12 N 47 ff.) geltend gemacht werden. Zusammenfassend kann festgehalten werden, dass die Rechtsschutzmöglichkeiten im Kartellrecht nur teilweise mit der Konzeption der fernmelderechtlichen Regulierung vergleichbar sind, das Kartellrecht keine direkte Drittwirkung im von der Vorinstanz für das Fernmelderecht angenommenen Sinne kennt, die Verfügungen der WEKO jedoch durch ihre Verbindlichkeit für die Zivilgerichte eine indirekte Drittwirkung entfalten. 9.3.3.3 Das KG geht vom Grundsatz funktionierender Märkte aus, in denen der Missbrauch von Marktmacht zu verhindern ist. Demgegenüber sind die Wettbewerbsregeln des FMG auf eine Situation abgestimmt, in der eine frühere Monopolsituation in einen liberalisierten Markt überführt werden und eine Wettbewerbssituation erst geschaffen werden soll. Vor diesem Hintergrund sind die Unterschiede zwischen den Regeln des allgemeinen Wettbewerbsrechts und den sektorspezifischen Regulierungsbedingungen zu sehen. Aufgrund der notwendigen Regulierung wurde durch Art. 11 FMG ein rasches und wirksames Zugangsverfahren geschaffen, welches den Anbieterinnen unter erleichterten Bedingungen ein Zugangsrecht verschafft. So wird im Fernmelderecht für eine behördliche Intervention weder verlangt, dass der Zugang missbräuchlich verweigert wird, noch ist der Ausschluss von Wettbewerb auf dem nachgelagerten Markt nachzuweisen. Schliesslich lässt Art. 11 FMG keine Rechtfertigung der Zugangsverweigerung aus sachlichen Gründen zu. In prozessualer beziehungsweise institutioneller Hinsicht ist die Besonderheit des Zugangsverfahrens gemäss FMG darin zu sehen, dass eine Fachbehörde mit der Untersuchung betraut ist und der Rechtsmittelweg verkürzt wurde (MATTHIAS AMGWERD, Netzzugang in der Telekommunikation, Zürich 2008, S. 253 f.). Im Gegensatz zum Kartellverwaltungsverfahren gilt aber im Verfahren nach Art. 11 FMG - vorbehältlich der vorsorglichen Massnahmen für die Dauer des Verfahrens gemäss Art. 71 FDV - der Dispositionsgrundsatz (AMGWERD, a. a. O., S. 172). Auch der Liberalisierungszweck des Fernmeldegesetzes bietet aber keinen flächendeckenden Schutz für die Konkurrentinnen der Beschwerdeführerin, sondern lediglich punktuelle Erleichterungen, für die ein genügend gewichtiges Interesse besteht ( CLEMENS VON ZEDTWITZ, Interkonnektion von Telekommunikationsnetzen, Zürich 2007, S. 249). 9.3.3.4 Das fernmelderechtliche Diskriminierungsverbot verlangt, dass allen Anbieterinnen die Zugangsdienstleistungen zu den gleichen Konditionen angeboten werden. Betroffen sind dabei nicht nur die Preise, sondern sämtliche relevanten Geschäftsbedingungen (AMGWERD, a. a. O., S. 140). Gemäss Art. 52 Abs. 1 und 2 FDV gewährt die marktbeherrschende Anbieterin anderen FDA den Zugang zu ihren Einrichtungen und Diensten sowie zu den dazugehörigen Informationen auf nichtdiskriminierende Weise. Insbesondere darf keine andere FDA schlechter gestellt werden als Geschäftseinheiten, Tochterfirmen oder andere Partnerinnen der marktbeherrschenden Anbieterin. Eine darüber hinaus gehende Tragweite des Diskriminierungsverbots im Sinne einer direkten, rückwirkenden Drittwirkung kann aber weder aus dem Liberalisierungszweck des Gesetzes noch aus der Umschreibung von Art. 52 Abs. 1 und 2 FDV abgeleitet werden. Da der historische Gesetzgeber davon ausging, die Zugangsverfügungen hätten keine direkte Drittwirkung, könnte eine solche nur angenommen werden, wenn dies die andern Auslegungselemente mit hinreichender Klarheit nahelegen würden. Dies ist nicht der Fall. Zwar entspricht eine (vertraglich vereinbarte) rückwirkende Drittwirkung zweifellos dem Zweck des Gesetzes (BGE 132 II 284 E. 6.4), es folgt aber aus dem Gesetzeszweck nicht, dass eine direkte, rückwirkende Drittwirkung bereits von Gesetzes wegen gilt. 9.3.4 Die Beschwerdeführerin verweist auf gegenwärtig hängige Bestrebungen auf politischer Ebene, der Vorinstanz das Recht zuzugestehen, ex officio einzuschreiten. Aus diesen Bestrebungen kann indessen im vorliegenden Zusammenhang nichts geschlossen werden, geht es doch hier nicht um die Frage, ob die Vorinstanz berechtigt ist, von Amtes wegen tätig zu werden, sondern um die Frage, wie sich eine auf Antrag einer FDA getroffene Regelung auswirkt. 9.3.5 Schliesslich ist der Systematik der Zugangsordnung gemäss Art. 11 bis Art. 11b FMG Rechnung zu tragen. Das Zugangssystem sieht vor, dass die Parteien zunächst auf dem Verhandlungsweg die Bedingungen vereinbaren. Erst wenn dies nicht gelingt, verfügt die ComCom die Zugangsbedingungen auf Gesuch hin. Die Verfügung hat privatrechtsgestaltende Wirkung. Die Durchsetzung der vereinbarten oder verfügten Bedingungen geschieht gemäss Art. 11b FMG allerdings auf dem zivilrechtlichen Weg. Der Vorinstanz kommt nach dieser Konzeption weder eine Aufgabe bei der Durchsetzung der Verträge noch eine Aufsichtsfunktion bezüglich ihrer Rechtmässigkeit zu. 9.3.6 In einem nächsten Schritt ist zu untersuchen, ob dieses Auslegungsergebnis mit dem übergeordneten Recht vereinbar ist. Es ist zu prüfen, wie weit der verfassungsrechtliche Diskriminierungsbegriff für das vorliegende Verhältnis massgebend ist. Art. 8 Abs. 2 BV bestimmt, niemand dürfe diskriminiert werden. Diesem Diskriminierungsverbot wird in gewissen Bereichen, so namentlich wenn ein Anbieter von Gütern oder Dienstleistungen eine den Markt massgeblich beeinflussende Stellung hat, eine Horizontalwirkung zugesprochen. Dies bedeutet, dass das Diskriminierungsverbot gemäss Art. 8 Abs. 2 BV sich in diesen Bereichen auch auf das Verhältnis zwischen Privaten auswirkt. Zum Schutz der diskriminierungsfreien Behandlung der Nachfrager kann eine Pflicht des Anbieters bestehen, mit diesen einen Vertrag einzugehen (Kontrahierungszwang). Art. 11 FMG ist Ausdruck einer solchen horizontalen Wirkung des Diskriminierungsverbots (JÖRG PAUL MÜLLER/MARKUS SCHEFER, Grundrechte in der Schweiz: im Rahmen der Bundesverfassung, der EMRK und der UNO-Pakte, 4. Aufl., Bern 2008, S. 707 f.). Das verfassungsrechtliche Diskriminierungsverbot verbietet es einerseits, Differenzierungen an Merkmale wie Rasse oder Geschlecht anzuknüpfen. Dieser Teilgehalt des Verbots ist vorliegend nicht angesprochen. Anderseits gilt es als diskriminierend, Einzelne oder Personengruppen, die - etwa aufgrund vergangener gesellschaftlicher Erfahrungen - eines erhöhten verfassungsrechtlichen Schutzes bedürfen, zu benachteiligen. Personen, bei denen kein solches erhöhtes Schutzbedürfnis vorliegt, sind nicht durch das Diskriminierungsverbot, sondern lediglich durch des Gleichbehandlungsgebot geschützt. Zwar dürfte aufgrund der historisch gewachsenen Marktbeherrschung der Beschwerdeführerin ein besonderes Schutzbedürfnis der Konkurrentinnen im Sinne von Art. 8 Abs. 2 BV zu bejahen sein. Im Hinblick auf die Frage, ob aus dem Diskriminierungsverbot gemäss Art. 11 FMG eine direkte Drittwirkung abzuleiten ist, lassen sich aus Art. 8 Abs. 2 BV jedoch keine Schlüsse ziehen. 9.3.7 Im Rahmen der verfassungskonformen Auslegung ist weiter den Grundrechten, so namentlich der Wirtschaftsfreiheit (Art. 27 BV), Rechnung zu tragen. Bei der Pflicht zur Zugangsgewährung handelt es sich um einen erheblichen Eingriff in die Wirtschaftsfreiheit der Beschwerdeführerin und sie bedarf einer genügenden gesetzlichen Grundlage, die so bestimmt zu sein hat, dass sie den FDA ermöglicht, verlässlich festzustellen, welche Dienste zu welchen Bedingungen zu erbringen sind (BGE 131 II 13 E. 6.4.3 und E. 6.5.2; Urteil des BGer 2A.503/2000 vom 3. Oktober 2001 E. 7a). Die Wirkung der Verfügungen der Vorinstanz auf Drittverhältnisse ist im Gesetz zumindest nicht klar geregelt. Diese Unschärfe der gesetzlichen Regelung spricht zwar nicht zwingend gegen die Bejahung einer Drittwirkung, sie darf aber im Lichte der Wirtschaftsfreiheit auch nicht als Freiraum für die Vorinstanz gewürdigt werden. Entscheidend ist vielmehr der Sinn der gesetzlichen Regelung, welcher sich aus einer umfassenden Auslegung ergibt (vgl. zum Erfordernis einer gesetzlichen Grundlage für eine Interkonnektionspflicht das Urteil des BGer 2A.503/2000 vom 3. Oktober 2001 E. 7a). 9.3.8 Weiter ist zu prüfen, ob sich Vorgaben zu den Modalitäten der Zugangsregulierung aus dem internationalen Recht entnehmen lassen. Das Recht der Europäischen Union entfaltet keine unmittelbaren verbindlichen Auswirkungen auf das schweizerische Recht. Da die Revision des Fernmeldegesetzes aber unter anderem - im Hinblick auf Beteiligungen und Tätigkeiten schweizerischer Unternehmungen im Fernmeldemarkt der Europäischen Union - eine Anpassung des nationalen Rechts an die Liberalisierungsvorgaben der Europäischen Union (EU) bezweckte (Botschaft zum revidierten Fernmeldegesetz [FMG] vom 10. Juni 1996, BBl 1996 III 1411 f.), lässt sich deren Rechtsordnung als Auslegungshilfe beiziehen (Urteil des BGer 2A.503/2002 vom 3. Oktober 2001 E. 9a). Auch im Rahmen der Revision von Art. 11 FMG im Jahr 2007 wurde das Zugangsverfahren den in der EU geltenden Regeln angenähert, ohne diese jedoch zu übernehmen. Vielmehr wurde in der Revision bewusst ein von den Verhältnissen in der EU abweichendes Regulierungssystem geschaffen (Botschaft zum FMG, BBl 2003 I 7951 ff., 8002]). Da sich der Gesetzgeber bewusst für eine im fraglichen Punkt vom System der EU abweichende Ordnung entschieden hat, kann die Zugangsregulierung der EU in dieser Frage nicht als Auslegungshilfe beigezogen werden. Eine Übernahme der einschlägigen EU-Bestimmungen (namentlich der Verordnung [EG] Nr. 2887/2000 des Europäischen Parlaments und des Rates vom 18. Dezember 2000 über den entbündelten Zugang zum Teilnehmeranschluss sowie der Richtlinie 2002/19/EG des Europäischen Parlaments und des Rates vom 7. März 2002 über den Zugang zu elektronischen Kommunikationsnetzen und zugehörigen Einrichtungen sowie deren Zusammenschaltung [Zugangsrichtlinie], der Richtlinie 2002/21/EG des Europäischen Parlaments und des Rates vom 7. März 2002 über einen gemeinsamen Rechtsrahmen für elektronische Kommunikationsnetze und -dienste [Rahmenrichtlinie] und der Richtlinie 2002/22/EG des Europäischen Parlaments und des Rates vom 7. März 2002 über den Universaldienst und Nutzerrechte bei elektronischen Kommunikationsnetzen und -diensten [Universaldienstrichtlinie]) erfolgte im Übrigen auch nicht im Rahmen der bilateralen Verträge mit der EU. 9.3.9 Regelungen des Zugangs zum Fernmeldemarkt enthält ferner das Allgemeine Abkommen über den Handel mit Dienstleistungen (Anhang 1.B zum WTO-Abkommen, so genanntes GATS - General Agreement on Trade in Services [Abkommen vom 15. April 1994 zur Errichtung der Welthandelsorganisation [SR 0.632.20], S. 312 ff.). Das Abkommen und sein « Anhang über Telekommunikation » (ebenfalls in SR 0.632.20, S. 350 ff.) bezwecken namentlich die Gleichbehandlung von inländischen und ausländischen Anbietern (im Sinne der so genannten Meistbegünstigung [unter Anbietern verschiedener ausländischer Signatarstaaten] und der so genannten Inländerbehandlung [im Vergleich mit inländischen Unternehmungen]; vgl. insbes. Art. II und Art. XVII des GATS-Abkommens). Ob und wie weit die Bestimmungen dieses Staatsvertrags im schweizerischen Recht direkt anwendbar sind und auch in reinen Binnenverhältnissen Geltung beanspruchen, ist ungeklärt (Urteil des BGer 2A.503/2000 vom 3. Oktober 2001 E. 9c; LUKAS ENGELBERGER, Die unmittelbare Anwendbarkeit des WTO-Rechts in der Schweiz, Bern 2004, S. 11 f.). Zu berücksichtigen sind die Bestimmungen zumindest im Rahmen der völkerrechtskonformen Auslegung der Bestimmungen des Landesrechts (Art. 5 Abs. 3 und 4 BV; PIERRE TSCHANNEN, Staatsrecht der Schweizerischen Eidgenossenschaft, 2. Aufl., Bern 2007, § 9 Rz. 36 ff.). Ziff. 5 Bst. a des « Anhangs über die Telekommunikation » verpflichtet die Vertragsstaaten, jedem Dienstleistungserbringer eines anderen Mitglieds zu angemessenen und nichtdiskriminierenden Bedingungen das Recht auf Zugang zu öffentlichen Telekommunikationsnetzen und -dienstleistungen zu gewähren. Eine weitergehende Umschreibung, welchen Anforderungen die nichtdiskriminierenden Bedingungen zu genügen haben, findet sich in den Vertragswerken der WTO nicht. 9.3.10 Aus dem Gesagten wird klar, dass das Diskriminierungsverbot die gleichen Bedingungen für alle FDA fordert. Dabei sind keine Gründe für eine Einschränkung auf die in Zukunft zu bezahlenden Preise erkennbar. Aus dem Diskriminierungsverbot kann aber nicht abgeleitet werden, das Gesetz sehe eine direkte Drittwirkung der Verfügungen der Vorinstanz vor. Vielmehr ist die Nichtdiskriminierung auf dem Zivilrechtsweg durchzusetzen. Ob und wie weit aufgrund einer Verletzung des Diskriminierungsverbots Rückforderungsansprüche geltend gemacht werden können, ist damit eine Frage des Zivilrechts. Rückforderungsansprüche beurteilen sich nach den zivilrechtlichen Grundsätzen und können - bei gegebenen Voraussetzungen - namentlich auf Ansprüche aus ungerechtfertigter Bereicherung und unerlaubter Handlung gestützt werden. Unter diesen Umständen ist - zumindest soweit dadurch der Grundsatz der Nichtdiskriminierung nicht eingeschränkt wird - nicht einzusehen, weshalb kein Raum für eine vertragliche Regelung der Rückforderungsansprüche im Sinne einer rückwirkenden Drittwirkungsklausel bestehen soll. Eine Rückwirkungsklausel entspricht, sofern sie im Sinne der Nichtdiskriminierung allen Interkonnektionspartnerinnen der Beschwerdeführerin gewährt wird, der Zwecksetzung der Rechtsordnung (BGE 132 II 284 E. 6.4). Soweit auf dem Verhandlungsweg keine Einigung über die Rückforderungsmodalitäten erzielt werden konnte, sind diese auf Antrag einer Partei nach markt- und branchenüblichen Kriterien hin zu verfügen. Die Beschwerde erweist sich damit in diesem Punkt als begründet.</w:t>
      </w:r>
    </w:p>
    <w:p>
      <w:r>
        <w:rPr>
          <w:b/>
        </w:rPr>
        <w:t>E. 10</w:t>
      </w:r>
    </w:p>
    <w:p>
      <w:r>
        <w:t>10.1.7 (...)</w:t>
      </w:r>
    </w:p>
    <w:p>
      <w:r>
        <w:rPr>
          <w:b/>
        </w:rPr>
        <w:t>E. 10.2</w:t>
      </w:r>
    </w:p>
    <w:p>
      <w:r>
        <w:t>In den Verfahren betreffend TAL und KOL haben die Parteien eine Drittwirkungsklausel vereinbart und keinen die Drittwirkung betreffenden Antrag gestellt. Die Vorinstanz hat die vereinbarten Drittwirkungsklauseln aufgehoben. Die Beschwerdeführerin bringt gegen diese Aufhebung der Drittwirkungsklauseln verfahrensrechtliche Argumente vor. Sie macht geltend, die Vorinstanz sei im Rahmen der Dispositionsmaxime nur soweit zur Regelung der Zugangsbedingungen zuständig, wie zwischen den Parteien Dissens herrsche. Eine Aufhebung der vereinbarten Klausel wäre deshalb bereits aus diesem Grund unzulässig.</w:t>
      </w:r>
    </w:p>
    <w:p>
      <w:r>
        <w:rPr>
          <w:b/>
        </w:rPr>
        <w:t>E. 10.2.1</w:t>
      </w:r>
    </w:p>
    <w:p>
      <w:r>
        <w:t>Die Vorinstanz wendet dagegen ein, dass sich die Parteien zunächst selber um eine einvernehmliche Lösung zu bemühen hätten. Da es sich bei der Drittwirkung um zwingendes öffentliches Recht handle, könne diese aber nicht parteiautonom vereinbart werden. Die Drittwirkungsklausel sei daher aufzuheben. Die Beschwerdegegnerin macht geltend, wenn ein Zugangsgesuch gestellt werde, habe die Vorinstanz die Zugangsbedingungen von Amtes wegen festzulegen, sie sei dabei nicht an die Parteianträge gebunden.</w:t>
      </w:r>
    </w:p>
    <w:p>
      <w:r>
        <w:rPr>
          <w:b/>
        </w:rPr>
        <w:t>E. 10.2.2</w:t>
      </w:r>
    </w:p>
    <w:p>
      <w:r>
        <w:t>Gemäss Art. 11a FMG verfügt die Vorinstanz die Bedingungen des Zugangs auf Gesuch einer der Parteien hin, wenn sich diese nicht innerhalb von drei Monaten darüber einigen. Wo sich die Parteien - wie vorliegend - über bestimmte Fragen geeinigt haben, besteht keine Zuständigkeit der Vorinstanz. Diese war deshalb nicht berechtigt, die einvernehmlich vereinbarten Drittwirkungsklauseln aufzuheben. Daran würde auch nichts ändern, wenn die Drittwirkungsklauseln rechtswidrig oder - wie von der Vorinstanz geltend gemacht - unnötig wären. Der Vorinstanz kommt im vorliegenden Zusammenhang keine über die Regelung strittiger Zugangsbedingungen hinausreichende Aufsichtsaufgabe zu. Eine allfällige Rechtswidrigkeit von Vertragsbedingungen wäre gemäss Art. 11b FMG auf dem Zivilrechtsweg geltend zu machen. Festzuhalten ist zudem, dass die Vorinstanz auch keine Aufsichtsfunktion hat. Diese käme gemäss Art. 58 FMG dem BAKOM zu. Ob und wieweit das BAKOM als Aufsichtsbehörde befugt wäre, rechtswidrige Vertragsbestimmungen der FDA zu beanstanden, ist aufgrund des Gesagten fraglich, muss aber nicht im vorliegenden Verfahren geklärt werden.</w:t>
      </w:r>
    </w:p>
    <w:p>
      <w:r>
        <w:rPr>
          <w:b/>
        </w:rPr>
        <w:t>E. 10.2.3</w:t>
      </w:r>
    </w:p>
    <w:p>
      <w:r>
        <w:t>Die Beschwerden (...) sind damit auch in diesem Punkt gutzuheissen und (...) sind aufzuheben.</w:t>
      </w:r>
    </w:p>
    <w:p>
      <w:r>
        <w:rPr>
          <w:b/>
        </w:rPr>
        <w:t>E. 10.3</w:t>
      </w:r>
    </w:p>
    <w:p>
      <w:r>
        <w:t>(...)</w:t>
      </w:r>
    </w:p>
    <w:p>
      <w:r>
        <w:rPr>
          <w:b/>
        </w:rPr>
        <w:t>E. 11</w:t>
      </w:r>
    </w:p>
    <w:p>
      <w:r>
        <w:t>Die Vorinstanz hat (...) in der angefochtenen Verfügung im KOL-Verfahren die Rechtswidrigkeit verschiedener von der Beschwerdeführerin angebotenen Vertragsklauseln festgestellt und diese verpflichtet, diese Klauseln aus ihren Verträgen zu entfernen. Die Beschwerdeführerin beantragt nun, diese Ziffer durch eine Formulierung zu ersetzen, in der lediglich festgehalten werde, die betreffenden Klauseln des Standardvertrages KOL würden nicht in den zwischen den Parteien abgeschlossenen Vertrag aufgenommen. Damit bestreitet die Beschwerdeführerin das Recht der Vorinstanz, sie zu verpflichten, Klauseln aus Verträgen mit Dritten zu entfernen. Wie im Zusammenhang mit der Drittwirkungsklausel gezeigt, ist die Vorinstanz lediglich zur Regelung der Bedingungen des Zugangs in einem konkreten Vertragsverhältnis zwischen den Parteien des Verfahrens zuständig. Sie hat dagegen keine Aufsichtsfunktion im Sinne einer Prüfung der Rechtmässigkeit der mit Dritten abgeschlossenen Verträge. Die Beschwerde ist auch in diesem Punkt gutzuheissen und die Verpflichtung der Beschwerdeführerin, die beanstandeten Klauseln aus Verträgen mit Dritten zu entfernen, ist aufzuheben. Soweit die Vorinstanz die Klauseln im Vertragsverhältnis der Parteien aufgehoben hat, ist die Verfügung unangefochten geblieben. In diesem Rahmen wäre sie auch nicht zu beanstanden. Die Vertragsklauseln waren Gegenstand des Zugangsgesuchs der Beschwerdegegnerin. Die Vorinstanz war daher zur Beurteilung der Klauseln gemäss Art. 11a FMG zuständig. Die Anordnung (...) ist daher nicht ersatzlos aufzuheben, sondern es ist festzuhalten, dass die fraglichen Klauseln nicht in den zwischen den Parteien abgeschlossenen Vertrag aufgenommen werden. Damit bleibt zu prüfen, ob auch die angefochtene Feststellung der Rechtswidrigkeit aufzuheben ist. Soweit die Feststellung nicht das Vertragsverhältnis zwischen den Parteien betrifft, war die Vorinstanz - wie bereits gezeigt - nicht zur Prüfung der Rechtmässigkeit zuständig. Mit der vorgeschlagenen Neuformulierung des Dispositivs beantragt die Beschwerdeführerin sinngemäss, die Feststellung sei auch in Bezug auf das Vertragsverhältnis zwischen den Parteien aufzuheben. Feststellungsverfügungen sind gegenüber Leistungs- oder Gestaltungsverfügungen subsidiär. Dies bedeutet, dass eine Feststellungsverfügung nur dann erlassen werden darf, wenn das schutzwürdige Interesse nicht ebenso gut mit einer Leistungs- oder Gestaltungsverfügung gewahrt werden kann (BGE 132 V 257 E. 1 mit Hinweisen; ISABELLE HÄNER, in: Bernhard Waldmann/Philippe Weissenberger [Hrsg.], Praxiskommentar VwVG, Zürich/Basel/Genf 2009, Art. 25 N 20). Das Gebot der Subsidiarität gilt auch, wenn eine Behörde im Rahmen ihrer Vollzugsaufgaben von sich aus eine Verfügung erlässt (BVGE 2009/9 E. 2.2; ANDREAS KLEY, Die Feststellungsverfügung, in: Bernhard Ehrenzeller/Philippe Mastronardi/ René Schaffhauser/Rainer J. Schweizer/Klaus A. Vallender [Hrsg.], Festschrift für Yvo Hangartner, St. Gallen/Lachen 1998, S. 230 ff., 239). Vorliegend stand der Vorinstanz die Möglichkeit offen, insofern gestaltend das Rechtsverhältnis zwischen der Beschwerdeführerin und der Beschwerdegegnerin zu regeln, als sie die strittigen Klauseln hätte für nicht anwendbar erklären können. Für eine darüber hinausgehende und offenbar in erster Linie auf Verträge mit Dritten bezogene Feststellung bleibt damit kein Raum. Die angefochtene Klausel des Dispositivs ist daher auch in diesem Punkt aufzuheben. Festzuhalten ist zudem, dass die Beschwerdegegnerin als Gesuchstellerin in den erstinstanzlichen Verfahren keine Feststellungsanträge gestellt hat. Die Vorinstanz hat mithin mit ihrer Feststellung auch die Dispositionsmaxime verletzt. Die Beschwerde ist folglich ebenfalls gutzuheissen, soweit sie sich gegen die Feststellungsverfügung richtet und Ziffer 7 der KOL-Verfügung ist aufzuheben und durch die von der Beschwerdeführerin beantragte Formulierung zu ersetzen.</w:t>
      </w:r>
    </w:p>
    <w:p>
      <w:r>
        <w:rPr>
          <w:b/>
        </w:rPr>
        <w:t>E. 12.1</w:t>
      </w:r>
    </w:p>
    <w:p>
      <w:r>
        <w:t>Strittig ist weiter die Frage der Verzinsung allfälliger Rückzahlungen. Die Verzinsung von drittwirkungsbedingten Rückforderungen im Rahmen des IC-Verhältnisses wird von der Vorinstanz im Rahmen der Verfügung einer Drittwirkungsklausel zu regeln sein (...). Die Verzinsung in den KOL- und TAL-Verfahren wird dagegen durch die einvernehmlich vereinbarten Drittwirkungsklauseln bestimmt (E. 10.2.3). Zu beurteilen bleibt damit die Höhe des Zinssatzes für Rückzahlungen im KOL- und im TAL-Verfahren, die durch Preisfestsetzungen « inter partes » geschuldet sind (...). Die Vorinstanz hat die Verzinsung basierend auf dem Satz CHF LIBOR zwölf Monate zuzüglich eines Bonitätszuschlages von 1,3 % festgelegt.</w:t>
      </w:r>
    </w:p>
    <w:p>
      <w:r>
        <w:rPr>
          <w:b/>
        </w:rPr>
        <w:t>E. 12.2</w:t>
      </w:r>
    </w:p>
    <w:p>
      <w:r>
        <w:t>Die Beschwerdeführerin bringt zunächst vor, die Beschwerdegegnerin habe ihre Gesuche um Festsetzung eines Zinssatzes zurückgezogen. Indem sie trotzdem einen Zinssatz festgelegt habe, habe die Vorinstanz die Dispositionsmaxime verletzt. Weiter macht sie geltend eine Verzinsung von zu viel bezahlten Interkonnektionsgebühren sei im Gesetz nicht geregelt, ohne entsprechende Vereinbarung sei von der Unverzinslichkeit der Rückzahlungen auszugehen. Da der kostenorientierte Preis im Zeitpunkt der Zahlungen der FDA noch nicht festgelegt sei, könne eine Rückforderung auch noch nicht fällig sein. Ein Verzugszins sei damit nicht geschuldet. Sie sei aber bereit, einen markt- und branchenüblichen Zins zu bezahlen. Der von ihr vorgeschlagene Zinssatz in der Höhe des CHF LIBOR sechs Monate sei in verschiedenen Vereinbarungen mit Konkurrentinnen - auch mit solchen, welche ein Zugangsgesuch gestellt hätten - enthalten und deshalb als markt- und branchenüblich zu bezeichnen. Der Basiszinssatz der Vorinstanz (CHF LIBOR zwölf Monate) sei nicht angebracht, da sie die zurückzuerstattenden Erträge aufgrund der ungewissen Verfahrensdauer nicht langfristig habe anlegen können.</w:t>
      </w:r>
    </w:p>
    <w:p>
      <w:r>
        <w:rPr>
          <w:b/>
        </w:rPr>
        <w:t>E. 12.3</w:t>
      </w:r>
    </w:p>
    <w:p>
      <w:r>
        <w:t>Die Vorinstanz führt aus, die Verzinslichkeit von Rückzahlungen ergebe sich implizit aus dem Sinn und Zweck der gesetzlichen Regelung zur IC. Zwischen den Parteien habe über die Zinshöhe Dissens geherrscht, diese sei deshalb im fernmelderechtlichen Zugangsverfahren als Nebenbedingung der IC festzulegen. Die Beschwerdegegnerin habe ihr entsprechendes Gesuch im vorinstanzlichen Verfahren nicht förmlich zurückgezogen, weshalb die Vorinstanz darüber zu befinden gehabt habe. Bei der Festsetzung des Zinssatzes sei nicht von einem Verzugszins auszugehen, da ein Verzugszins Fälligkeit der Forderungen voraussetze und die Rückzahlungen erst mit der Rechtskraft der Preisfestsetzungen fällig würden. Der Zinssatz gemäss Art. 73 OR komme nur zum Zug, wenn zwischen den Parteien ein Konsens herrsche, die Frage des Zinssatzes aber offen gelassen worden sei. Die zu verzinsenden Gelder würden der Beschwerdeführerin während mindestens einem Jahr zur Verfügung stehen, weshalb von einem zwölf Monate LIBOR-Satz auszugehen sei. Da sich dieser Satz auf Kreditverhältnisse zwischen Banken beziehe, enthalte er keinen Risikoanteil zur Kompensation der Bonität. Er sei deshalb entsprechend zu erhöhen. Dieser Zuschlag sei, ausgehend von einem Zuschlag von 1 % für Schuldner erster Bonität (sog. Primerate), zu bestimmen. Dazu sei eine individuelle Komponente hinzuzurechnen, die von der Bonität einer hypothetischen effizienten Markteintreterin ausgehe. Diese Kapitalaufnahmekosten seien auf 0,3 % zu beziffern, so dass der Zinszuschlag auf 1,3 % festzulegen sei. Bei den angenommenen Fremdkapitalkosten seien nicht die Sätze massgebend, die für die Beschwerdeführerin gälten, da eine Konkurrentin nicht wie diese von einer faktischen Staatsgarantie ausgehen könne.</w:t>
      </w:r>
    </w:p>
    <w:p>
      <w:r>
        <w:rPr>
          <w:b/>
        </w:rPr>
        <w:t>E. 12.3.1</w:t>
      </w:r>
    </w:p>
    <w:p>
      <w:r>
        <w:t>Auch die Beschwerdegegnerin macht geltend, sie habe ihre Gesuche nicht formell zurückgezogen. Sie hält fest, die Verzinsung entspreche einem allgemein anerkannten Grundsatz im Verwaltungsrecht. Die Verzinsung sei aus wettbewerbspolitischer Sicht wichtig, da die Beschwerdeführerin kraft ihrer Marktmacht durch überhöhte Preise während des Zugangsverfahrens günstige Darlehen erzwingen könne. Gleichzeitig schaffe sie zusätzliche Markteintrittshürden für Konkurrentinnen, indem sie diesen Investitionsmittel entziehe und sie im Kampf um Marktanteile behindere. In den TAL- und KOL-Verfahren habe sie die Festsetzung eines Zinssatzes beantragt. Über die Frage der Verzinslichkeit habe stets Konsens bestanden, strittig sei einzig die Höhe des Zinssatzes. Die Zinshöhe sei nach den Grundsätzen der Vertragslückenfüllung zu bestimmen. Dabei sei gemäss der dispositiven Bestimmung von Art. 73 Abs. 1 OR von einem Zinssatz von 5 % auszugehen. Falls davon ausgegangen werde, Art. 73 OR sei nicht anwendbar, müsse der Zinssatz so festgelegt werden, dass der Anreiz korrigiert werde, die Konkurrenz durch überhöhte Forderungen zu schwächen. Zu diesem Zweck sei ein Korrekturzuschlag zu erheben. Da über die Verzinslichkeit von Rückforderungen eine vertragliche Einigung vorliege, sei der Zivilrichter für die Festlegung der Höhe des Zinssatzes zuständig.</w:t>
      </w:r>
    </w:p>
    <w:p>
      <w:r>
        <w:rPr>
          <w:b/>
        </w:rPr>
        <w:t>E. 12.3.2</w:t>
      </w:r>
    </w:p>
    <w:p>
      <w:r>
        <w:t>Die Höhe der Zinsen auf Rückzahlungen ist eine Nebenbedingung der IC und kann von den Parteien im Rahmen der Zugangsverhandlungen einvernehmlich festgelegt werden. Da im vorliegenden Zusammenhang ein Kontrahierungszwang besteht und die Beschwerdegegnerin ein Zugangsgesuch gestellt hat, führt der Dissens - gleichgültig ob in einem Haupt- oder Nebenpunkt - nicht zu einem Nichtzustandekommen des Vertrages (vgl. zum Privatrecht dagegen Art. 2 Abs. 1 OR; EUGEN BUCHER, in: Basler Kommentar, Obligationenrecht I, 3. Aufl., Basel 2003, N. 46 zu Art. 1 OR). Die Höhe des Zinssatzes ist diesfalls nach der fernmelderechtlichen Sondervorschrift von Art. 11a FMG festzulegen (BGE 132 II 284 E. 6.2). Diese Bestimmung verlangt, dass die Vorinstanz die Bedingungen der IC verfügt und dabei insbesondere die Bedingungen, die einen wirksamen Wettbewerb fördern, sowie die Auswirkungen ihres Entscheides auf konkurrierende Einrichtungen berücksichtigt.</w:t>
      </w:r>
    </w:p>
    <w:p>
      <w:r>
        <w:rPr>
          <w:b/>
        </w:rPr>
        <w:t>E. 12.3.3</w:t>
      </w:r>
    </w:p>
    <w:p>
      <w:r>
        <w:t>Die Frage, ob allfällige Rückzahlungen zu verzinsen sind, war zwischen den Parteien nicht umstritten. Dabei ist es im vorliegenden Zusammenhang unerheblich, ob sich bereits aus dem Gesetz eine Pflicht zur Verzinsung ergibt oder ob diese von der Beschwerdeführerin freiwillig angeboten wird. Keine Einigung erzielten die Parteien dagegen betreffend die Zinshöhe.</w:t>
      </w:r>
    </w:p>
    <w:p>
      <w:r>
        <w:rPr>
          <w:b/>
        </w:rPr>
        <w:t>E. 12.3.4</w:t>
      </w:r>
    </w:p>
    <w:p>
      <w:r>
        <w:t>Zunächst ist zu prüfen, ob die Frage des Zinssatzes vor der Vorinstanz tatsächlich Verfahrensgegenstand war. Zwar hat die Beschwerdegegnerin in ihren Schlussbemerkungen im vorinstanzlichen Verfahren Zweifel an der Zuständigkeit der Vorinstanz zur Festsetzung eines Zinssatzes geäussert. Sie hat indessen ihren diesbezüglichen Antrag nicht zurückgezogen. Die Vorinstanz war damit zur Festsetzung des Zinssatzes zuständig.</w:t>
      </w:r>
    </w:p>
    <w:p>
      <w:r>
        <w:rPr>
          <w:b/>
        </w:rPr>
        <w:t>E. 12.3.5</w:t>
      </w:r>
    </w:p>
    <w:p>
      <w:r>
        <w:t>Die Beschwerdeführerin wehrt sich vorab gegen die Anwendung von Art. 73 OR, auf den sich die Beschwerdegegnerin beruft. Die Vorinstanz ist zu Recht davon ausgegangen, bei den festzulegenden Zinsen handle es sich nicht um Verzugszinsen. Sie hat somit Art. 73 Abs. 1 OR gar nicht berücksichtigt. Auf die diesbezüglichen Vorbringen der Beschwerdeführerin ist deshalb nicht weiter einzugehen.</w:t>
      </w:r>
    </w:p>
    <w:p>
      <w:r>
        <w:rPr>
          <w:b/>
        </w:rPr>
        <w:t>E. 12.4</w:t>
      </w:r>
    </w:p>
    <w:p>
      <w:r>
        <w:t>Die Beschwerdeführerin stellt sich weiter auf den Standpunkt, der in ihren Standardverträgen offerierte Zinssatz sei von praktisch allen FDA akzeptiert worden und deshalb als markt- und branchenüblich zu betrachten. Dazu ist festzuhalten, dass das BGer bereits in BGE 132 II 284 E. 6.3 festgehalten hat, es sei bei der Regelung von Nebenbestimmungen nicht lediglich auf die Häufigkeit beziehungsweise Beständigkeit einer bestimmten Regelung, sondern auch auf deren sachliche Rechtfertigung und Praktikabilität abzustellen. Darüber hinaus erscheine es zulässig, eine gewisse Vertragsgerechtigkeit anzustreben, sofern damit der Ausgleich der Marktbeherrschung beziehungsweise eine Regelung bezweckt werde, wie sie unter Vertragspartnern mit gleicher oder zumindest ähnlicher Verhandlungsmacht zu erwarten sei. Dies wurde mit der heutigen Fassung von Art. 11a Abs. 1 FMG - welche in diesem Punkt keine inhaltliche Neuerung bezweckt - weiter präzisiert. Die Nebenbedingungen sind zwar nach der Markt- und Branchenüblichkeit (Art. 74 Abs. 2 FDV), dabei aber unter Berücksichtigung der Bedingungen, die einen wirksamen Wettbewerb fördern, sowie den Auswirkungen des Entscheides auf konkurrierende Einrichtungen festzulegen. Angesichts der Marktmacht der Beschwerdeführerin kann aus der Häufigkeit einer Klausel nicht darauf geschlossen werden, dass sie das Resultat funktionierenden Wettbewerbs darstellt. Es kann deshalb auch nicht davon ausgegangen werden, dass die Klausel die Bedingungen widerspiegelt, die einen wirksamen Wettbewerb fördern. Der Zinssatz ist deshalb anhand inhaltlicher Massstäbe zu beurteilen (BGE 132 II 257 E. 3.3.4, BGE 132 II 284 E. 6.3).</w:t>
      </w:r>
    </w:p>
    <w:p>
      <w:r>
        <w:rPr>
          <w:b/>
        </w:rPr>
        <w:t>E. 12.5</w:t>
      </w:r>
    </w:p>
    <w:p>
      <w:r>
        <w:t>Als Nebenbestimmung der IC ist der Zinssatz nach Art. 11 a Abs. 1 FMG, das heisst namentlich unter Berücksichtigung der Bedingungen, die den Wettbewerb fördern, zu bestimmen. Diese offene Formulierung eröffnet der Vorinstanz einen erheblichen Ermessensspielraum. Die Beurteilung des Zinssatzes im Hinblick auf einen funktionierenden Wettbewerb erfordert erhebliches Fachwissen, insbesondere eingehende Kenntnis der Verhältnisse auf dem Telekommunikationsmarkt. Das BVGer überprüft die Ausübung des Ermessens durch die fachkundige Vorinstanz nur mit einer gewissen Zurückhaltung und beurteilt, ob sich die Vorinstanz von sachgerechten Überlegungen leiten liess, setzt aber sein Ermessen nicht anstelle desjenigen der Vorinstanz (vgl. dazu E. 4.2; BGE 132 II 257 E. 3.3.4).</w:t>
      </w:r>
    </w:p>
    <w:p>
      <w:r>
        <w:rPr>
          <w:b/>
        </w:rPr>
        <w:t>E. 12.6</w:t>
      </w:r>
    </w:p>
    <w:p>
      <w:r>
        <w:t>Die Vorinstanz hat den für Darlehen zwischen Banken massgebenden LIBOR-Zinssatz als Basiszinssatz angenommen und um einen Risikozuschlag erhöht. Bei der Bemessung des Risikozuschlags ist sie nicht von der Bonität der Beschwerdeführerin, die aufgrund ihrer volkswirtschaftlichen Bedeutung und ihrer besonderen Position - aufgrund der Kapitalbeteiligung verfügt sie über eine faktische Staatsgarantie - sondern von derjenigen einer hypothetischen effizienten Markteintreterin ausgegangen. Dieses Vorgehen erscheint methodisch nachvollziehbar und sachlich vertretbar. Bei der Festsetzung der Parameter (angenommene Laufzeit, Höhe des Bonitätszuschlags) bewegte sich die Vorinstanz im Rahmen ihres Ermessens. Der festgesetzte Zinssatz ist deshalb nicht zu beanstanden. Daran ändern auch die Vorbringen der Beschwerdeführerin nichts. Denn mit ihrem Einwand, sie selber könne mit den erhaltenen Geldern lediglich einen Zinssatz für kurzfristige Anlagen erzielen, stellt sie sich offensichtlich auf den Standpunkt, sie dürfe aus der Rückerstattung zu hoch bezahlter Preise keine finanziellen Einbussen erleiden. Nebenbestimmungen der IC sollen jedoch so ausgestaltet sein, dass der Wettbewerb gefördert wird beziehungsweise Wettbewerbsverzerrungen vermieden werden. Mit der Zinsbemessung nach der Konzeption der Beschwerdeführerin würden aber geradezu Anreize zum wettbewerbswidrigen Verhalten geschaffen. Denn die Beschwerdeführerin verfügt - wie die Beschwerdegegnerin zu Recht festhält - durch zu hohe Preise während der Dauer des Zugangsverfahrens über zusätzliches Kapital, während ihre Konkurrentinnen diese ihnen entzogenen Gelder mit Fremdkapital kompensieren oder auf Investitionen verzichten müssen. Diesem unerwünschten Wettbewerbsvorteil der Beschwerdeführerin ist insofern entgegen zu wirken, als bei der Bemessung des Zinssatzes den auf Seiten der Beschwerdeführerin eingesparten und bei ihren Konkurrentinnen zusätzlich anfallenden Fremdkapitalkosten Rechnung zu tragen ist. Die von der Vorinstanz angewandte Bemessungsmethode entspricht dieser Anforderung.</w:t>
      </w:r>
    </w:p>
    <w:p>
      <w:r>
        <w:rPr>
          <w:b/>
        </w:rPr>
        <w:t>E. 12.7</w:t>
      </w:r>
    </w:p>
    <w:p>
      <w:r>
        <w:t>Die Beschwerde erweist sich somit in diesem Punkt als unbegründet und ist abzuweisen.</w:t>
      </w:r>
    </w:p>
    <w:p>
      <w:r>
        <w:rPr>
          <w:b/>
        </w:rPr>
        <w:t>E. 13.1</w:t>
      </w:r>
    </w:p>
    <w:p>
      <w:r>
        <w:t>Die Vorinstanz hat bei der Preisfestsetzung im IC-Verfahren festgestellt, dass der von der Beschwerdeführerin in ihrem « Handbuch Preise 2007 » offerierte Preis für die Implementierung der Nummernportierungsroutingnummer tiefer lag als die ausgewiesenen beziehungsweise festgestellten Kosten. Die Vorinstanz hat darauf verzichtet, einen kostenorientierten Preis festzusetzen und hielt fest, es sei der Beschwerdeführerin nicht verwehrt, mit ihren Vertragspartnerinnen unter dem Kostennachweis liegende Preise zu vereinbaren und diese allen alternativen Anbieterinnen diskriminierungsfrei zu offerieren. Hätte sie einen höheren Preis verfügt, hätte die Beschwerdeführerin bei den übrigen Anbieterinnen aufgrund des Diskriminierungsverbots entsprechende Nachforderungen durchsetzen müssen. Dies wäre aber aufgrund der mit Dritten vertraglich vereinbarten Preise nicht möglich gewesen.</w:t>
      </w:r>
    </w:p>
    <w:p>
      <w:r>
        <w:rPr>
          <w:b/>
        </w:rPr>
        <w:t>E. 13.2</w:t>
      </w:r>
    </w:p>
    <w:p>
      <w:r>
        <w:t>Die Beschwerdeführerin verlangt mit Antrag 2 der IC-Beschwerde die Aufhebung des verfügten Preises von 2'250 Franken und dessen Festsetzung auf dem Niveau der nachgewiesenen Kosten. Sie führt aus, die Vorinstanz habe anhand der Überprüfung des vorgelegten Kostennachweises festgestellt, dass die Kosten auf Fr. 3'134.70 zu beziffern seien. Die Preise seien kostenorientiert festzulegen, dies auch wenn sie höher zu liegen kämen als der ursprünglich offerierte Preis. Zwar könnten unter dem Kostennachweis liegende Preise vereinbart werden. Wenn - wie im vorliegenden Verfahren - keine Einigung erzielt werde, sei der offerierte Preis nicht mehr massgebend. Nachforderungen gegenüber andern FDA, mit denen ein tieferer Preis vereinbart worden sei, seien aufgrund der in den Verträgen vorgesehenen Drittwirkungsklausel möglich und würden der Vertragsgerechtigkeit entsprechen. Es sei unklar, ob die Vorinstanz einen nachträglichen Konsens angenommen und auf eine Preisfestsetzung verzichtet, oder ob sie - unter Annahme eines fortbestehenden Dissenses - den offerierten Preis festgesetzt habe.</w:t>
      </w:r>
    </w:p>
    <w:p>
      <w:r>
        <w:rPr>
          <w:b/>
        </w:rPr>
        <w:t>E. 13.3</w:t>
      </w:r>
    </w:p>
    <w:p>
      <w:r>
        <w:t>Die Vorinstanz wendet ein, das FMG bezwecke die Schaffung von wirksamem Wettbewerb. Der Regulierungszweck könne nur zu einer Senkung, nicht aber zu einer Erhöhung der angebotenen Preise führen. Entgegen den Ausführungen der Beschwerdeführerin habe sie auch in der Vergangenheit keine Preiserhöhungen vorgenommen. Einzig die marktbeherrschende Anbieterin habe umfassend Einblick in die Kostenberechnungen und damit in die Preiskalkulation. Falls die FDA mit einer Preiserhöhung rechnen müssten, würden sie die behördliche Preisfestsetzung nicht abwarten, sondern ihr Gesuch zurückziehen. Eine Preiserhöhung sei auch verfahrensrechtlich nicht denkbar. Der Verfahrensgegenstand werde durch die Anträge der Gesuchstellerin im Zugangsverfahren beschränkt.</w:t>
      </w:r>
    </w:p>
    <w:p>
      <w:r>
        <w:rPr>
          <w:b/>
        </w:rPr>
        <w:t>E. 13.4</w:t>
      </w:r>
    </w:p>
    <w:p>
      <w:r>
        <w:t>Die Beschwerdegegnerin macht geltend, sie habe in ihrem Gesuch lediglich die Korrektur überhöhter Preise beantragt, Preiserhöhungen seien deshalb nicht Gegenstand des Gesuchs und damit ausgeschlossen. Eine Preiserhöhung würde aber auch in einem Widerspruch zum Zweck der Zugangsregulierung stehen. Mit dieser sollen Preismissbräuche durch das marktbeherrschende Unternehmen verhindert werden. Es stehe der marktbeherrschenden Anbieterin frei, ihre Dienstleistungen unter den Kosten anzubieten, so wie es den alternativen FDA frei stehe, einen höheren Preis zu vereinbaren. Die Kostenorientierung definiere lediglich eine Kostenobergrenze. Angesichts der Ungewissheit über die Kostenstruktur der marktbeherrschenden Unternehmung würde die Möglichkeit, dass ein Zugangsgesuch zu höheren Preisen führen könnte, FDA davon abhalten, Zugangsgesuche zu stellen. Eine Preiserhöhung würde zudem zu einer Diskriminierung der FDA führen, die ein Zugangsgesuch gestellt hätten. Eine Nachforderung gegenüber Dritten würde deren Anspruch auf rechtliches Gehör verletzen und sei deshalb nicht durchsetzbar. Die offerierten Preise seien nur angefochten worden, soweit sie überhöht gewesen seien, bei allfälligen zu tiefen Preisen sei ein Akzept der Beschwerdegegnerin anzunehmen. Solange die gesetzlich geforderte Preistransparenz nicht hergestellt sei, sei die Beschwerdeführerin an ihre Offerte gebunden.</w:t>
      </w:r>
    </w:p>
    <w:p>
      <w:r>
        <w:rPr>
          <w:b/>
        </w:rPr>
        <w:t>E. 13.5</w:t>
      </w:r>
    </w:p>
    <w:p>
      <w:r>
        <w:t>Zunächst ist die Zulässigkeit einer Erhöhung des von der Beschwerdeführerin angebotenen Preises nach den allgemeinen Grundsätzen des Verwaltungsverfahrens zu beurteilen. Unterliegt ein Verfahren der Dispositionsmaxime, wird der Verfahrensgegenstand durch die Begehren der Parteien bestimmt. Dies hat zur Folge, dass die entscheidende Behörde einer Partei nicht mehr und nichts anderes zusprechen darf, als diese beantragt hat. Sie darf aber auch nicht weniger zusprechen als die Gegenpartei anerkannt hat. Die Dispositionsmaxime ist im nichtstreitigen Verwaltungsverfahren bei den mitwirkungsbedürftigen Verwaltungsakten massgebend (KÖLZ/HÄNER, a. a. O., S. 36). Das Zugangsverfahren wird durch das Gesuch einer alternativen FDA eingeleitet und ist damit ein mitwirkungsbedürftiges Verwaltungsverfahren. Das Zugangsverfahren unterliegt demnach der Dispositionsmaxime (AMGWERD, a. a. O., Rz. 380). Der Gegenstand des Zugangsverfahrens wird durch die Anträge im Gesuch festgelegt (vgl. Art. 70 FDV). Die Gesuchstellerin kann die Überprüfung der Preise im Hinblick auf deren Senkung auf das kostenorientierte Niveau beantragen. Die Rolle der marktbeherrschenden Anbieterin beschränkt sich darauf, die Einhaltung der Kostenorientierung nachzuweisen. Eine Erhöhung der Preise dürfte damit bereits im Widerspruch zur Dispositionsmaxime stehen. Darauf deutet auch Art. 74 Abs. 3 FDV hin. Gemäss dieser Bestimmung verfügt die Vorinstanz die Preise auf Grund markt- oder branchenüblicher Vergleichswerte beziehungsweise anhand eigener Kostenmodellierungen, wenn die marktbeherrschende Anbieterin die Einhaltung der Kostenorientierung nicht nachweisen kann. Wird jedoch der Nachweis erbracht, dass die Kostenorientierung eingehalten ist, mit anderen Worten der offerierte Preis nicht zu hoch ist, so beschränkt sich die Verfügungskompetenz der Vorinstanz darauf, den von der marktbeherrschenden Anbieterin offerierten Preis festzusetzen. Im vorliegenden Fall ist die Kostenorientierung eingehalten; es kann daher bloss der offerierte Preis festgesetzt werden.</w:t>
      </w:r>
    </w:p>
    <w:p>
      <w:r>
        <w:rPr>
          <w:b/>
        </w:rPr>
        <w:t>E. 13.6</w:t>
      </w:r>
    </w:p>
    <w:p>
      <w:r>
        <w:t>Dieses Ergebnis scheint auch in Hinblick auf den Sinn und Zweck des Zugangsverfahrens richtig. Unbestritten ist, auch ohne ausdrückliche Erwähnung im Gesetz, dass die Vorinstanz allfällige überhöhte Preise nur auf das durch die Kosten vorgegebene Niveau zu senken hat und keine tieferen Preise verfügen kann. Andernfalls würden durch zu tiefe Preise das Trittbrettfahren und ineffiziente Markteintritte gefördert - mithin der wirksame Wettbewerb behindert - und Anbieter konkurrierender Einrichtungen benachteiligt. Dadurch würde der Infrastrukturwettbewerb behindert (vgl. dazu AMGWERD, a. a. O., Rz. 311 und 425). Die Kostenorientierung bildet die Grenze der möglichen behördlichen Preissenkungen. Damit ist aber noch nicht geklärt, ob die Vorinstanz berechtigt ist, einen von der marktbeherrschenden Anbieterin offerierten tieferen Preis anzuheben. Der Wortlaut der Bestimmung schliesst dies aber zumindest nicht aus. Bei der Beurteilung dieser Frage sind dem verfassungsrechtlichen Rahmen und dem Zweck der Regulierung im Fernmeldemarkt Rechnung zu tragen, anderseits ist die Systematik der Zugangsordnung zu respektieren. Die behördliche Preisfestsetzung stellt einen Eingriff in die Vertragsfreiheit und damit in die verfassungsrechtlich geschützte Wirtschaftsfreiheit der Parteien dar. Als solche ist sie nur zulässig, wenn sie auf einer formellen gesetzlichen Grundlage basiert, im öffentlichen Interesse liegt und verhältnismässig ist (Art. 36 Abs. 2 bis 3 BV; vgl. auch ULRICH HÄFELIN/WALTER HALLER/HELEN KELLER, Schweizerisches Bundesstaatsrecht, 7. Aufl., Zürich/Basel/Genf 2008, Rz. 302 ff.). Mit der Pflicht, den alternativen FDA Zugang zu gewähren, soll die übermächtige Verhandlungsposition der marktbeherrschenden Unternehmung ausgeglichen werden. Ziel der Regulierung ist es, einen Missbrauch der Marktmacht zu verhindern. Zwar ist denkbar, dass auch tiefe Preise ein wettbewerbswidriges Verhalten darstellen, so namentlich wenn mit Dumpingangeboten versucht wird, einen Konkurrenten aus dem Markt zu drängen. Solche Dumpingpraktiken stehen aber vorliegend nicht zur Diskussion und sind nicht Gegenstand des Zugangsverfahrens gemäss Art. 11a FMG, sondern gegebenenfalls mit den Mitteln des allgemeinen Wettbewerbsrechts zu bekämpfen. Zweck des sektorspezifischen Wettbewerbsrechts im Fernmeldebereich ist die Überführung staatlicher Monopolstrukturen in eine marktwirtschaftliche Wettbewerbsordnung. Mit den Regeln des FMG sollen die Entstehung von Marktmacht als Folge der Deregulierung und der Missbrauch von neu ent stehender Marktmacht verhindert werden (AMGWERD, a. a. O., Rz. 163). Die marktbeherrschende Anbieterin ist in der Preisfestsetzung frei und bedarf nicht des Schutzes der Regulierungsbehörde. Ein regulatorischer Eingriff soll verhindern, dass eine marktbeherrschende Unternehmung mit dem Mittel der Preispolitik den Markt abschotten oder Monopolrenten erzielen kann. Die Korrektur allfälliger Kalkulationsfehler ist dagegen nicht Zweck des Zugangsverfahrens. Eine Korrektur einer zu tiefen Offerte der marktbeherrschenden Unternehmung wäre mit dem Zweck der fernmelderechtlichen Regulierung deshalb nicht vereinbar und würde auch nicht im öffentlichen Interesse liegen. Als Eingriff in die Vertrags- und Wirtschaftsfreiheit der Beschwerdegegnerin, die eine Überprüfung des offerierten Preises im Hinblick auf dessen Senkung verlangt, wäre sie damit unzulässig, selbst wenn sie mit dem Wortlaut der Bestimmung von Art. 11a FMG vereinbar sein sollte.</w:t>
      </w:r>
    </w:p>
    <w:p>
      <w:r>
        <w:rPr>
          <w:b/>
        </w:rPr>
        <w:t>E. 13.7</w:t>
      </w:r>
    </w:p>
    <w:p>
      <w:r>
        <w:t>Ob eine Preiserhöhung vor dem Hintergrund des Diskriminierungsverbotes zulässig wäre, braucht damit nicht abschliessend beantwortet zu werden. Dies erscheint aber zumindest fraglich. Zwar hat die Beschwerdeführerin nach eigenen Angaben in der Mehrzahl der abgeschlossenen Verfahren eine Drittwirkungsklausel aufgenommen, welche ihr im Falle einer Preiserhöhung durch die Vorinstanz das Recht einräumt, gegenüber dritten FDA die höheren Preise nachzufordern. Da solche Drittwirkungsklauseln zwar offenbar mit vielen, nicht aber mit allen FDA abgeschlossen worden sind, dürfte eine Preiserhöhung bereits daran scheitern, dass die Beschwerdegegnerin gegenüber andern FDA, die keine solche Klausel akzeptiert haben, diskriminiert würde. Zudem würden sich allfällige von der Vorinstanz verfügte höhere Preise wegen der Drittwirkung zum Nachteil der Dritten auswirken, ohne dass diese sich zur Preiserhöhung vorgängig äussern konnten. Dies erschiene im Hinblick auf den verfassungsmässigen Anspruch auf rechtliches Gehör problematisch.</w:t>
      </w:r>
    </w:p>
    <w:p>
      <w:r>
        <w:rPr>
          <w:b/>
        </w:rPr>
        <w:t>E. 13.8</w:t>
      </w:r>
    </w:p>
    <w:p>
      <w:r>
        <w:t>Ferner rügt die Beschwerdeführerin, die Vorinstanz habe mit ihrer Weigerung, den Preis dem Kostennachweis anzupassen, gegen ihre frühere Praxis verstossen. So habe sie in früheren Verfahren die Preise innerhalb einer Dienstgruppe teilweise nach oben, teilweise nach unten korrigiert. Weiter habe sie in der vorliegend angefochtenen Verfügung den Preis für die Aktivierung der vorbestimmen Betreiberauswahl von Fr. 4.95 im Jahr 2003 auf Fr. 22.- im Jahr 2004 erhöht.</w:t>
      </w:r>
    </w:p>
    <w:p>
      <w:r>
        <w:rPr>
          <w:b/>
        </w:rPr>
        <w:t>E. 13.8.1</w:t>
      </w:r>
    </w:p>
    <w:p>
      <w:r>
        <w:t>Die Vorinstanz wendet dagegen ein, die Erhöhung der Preise für die Aktivierung der vorbestimmten Betreiberauswahl sei mit dem vorliegenden Fall nicht vergleichbar. Es handle sich dabei um eine Preiserhöhung im Vergleich zu einer früheren Regulierungsperiode, für die die Beschwerdeführerin keinen Kostennachweis erbracht habe, nicht aber um eine Erhöhung des offerierten Preises. Die Erhöhung einzelner Preise sei lediglich im Gegenzug zu einer gleichzeitigen Senkung von Preisen innerhalb einer Dienstgruppe infolge einer veränderten Kostenzuordnung erfolgt. Eine solche Umgestaltung des Preisgefüges stelle keine Ausnahme vom Grundsatz dar, dass die Vorinstanz keine Preiserhöhungen verfügen könne.</w:t>
      </w:r>
    </w:p>
    <w:p>
      <w:r>
        <w:rPr>
          <w:b/>
        </w:rPr>
        <w:t>E. 13.8.2</w:t>
      </w:r>
    </w:p>
    <w:p>
      <w:r>
        <w:t>Soweit sich die Beschwerdeführerin auf eine Erhöhung der Preise im Vergleich zu einer Vorperiode beruft, kann von vornherein keine Praxisänderung erkannt werden, da sich die Sachverhalte im vorliegend strittigen Punkt grundlegend unterscheiden. Die Preise wurden in jenem Verfahren auf dem Niveau der Offerte festgelegt, weshalb sich die Frage, ob offerierte Preise erhöht werden dürfen, nicht stellte. Ebenfalls keine abweichende Praxis kann im Umstand gesehen werden, dass die Vorinstanz bei Änderungen der Kostenzuordnung innerhalb einer Dienstgruppe einzelne Preise erhöhte. In solchen Fällen geht es darum, Kosten, welche von der Beschwerdeführerin bei der Kalkulation ihrer Offerte berücksichtigt wurden, anderen Preisen zuzuordnen. Es wird weder geltend gemacht noch ist aus den Akten ersichtlich, dass die vorliegend umstrittene Preiserhöhung ebenfalls Folge einer sachgerechten Zuweisung von Kosten innerhalb einer Dienstgruppe sein soll. Es liegt damit keine Praxisänderung vor und die Rüge, die Vorinstanz habe eine unzulässige Praxisänderung vorgenommen, erweist sich als unbegründet.</w:t>
      </w:r>
    </w:p>
    <w:p>
      <w:r>
        <w:rPr>
          <w:b/>
        </w:rPr>
        <w:t>E. 13.9</w:t>
      </w:r>
    </w:p>
    <w:p>
      <w:r>
        <w:t>Die Beschwerdeführerin bringt schliesslich vor, es sei nicht nachvollziehbar, ob die Vorinstanz nun einen nachträglichen Konsens in der Höhe des offerierten Preises festgestellt oder den Preis privatrechtsgestaltend auf einem nicht kostenorientierten Niveau festgesetzt habe. Beides sei unzulässig. Wenn von einem nachträglichen Konsens ausgegangen werde, hätte die Vorinstanz nicht auf das Gesuch eintreten dürfen, da sie zur Preisfestsetzung nur zuständig sei, wenn keine Einigung zustande gekommen sei. Eine Preisfestsetzung auf dem Niveau des offerierten Preises sei dagegen inhaltlich unzulässig, weil der Grundsatz der Kostenorientierung dadurch verletzt würde. Dieser Argumentation der Beschwerdeführerin kann nicht gefolgt werden. Nachdem die Parteien keine Einigung erzielt haben und die Beschwerdegegnerin die Vorinstanz angerufen hat, ist diese zur Preisfestsetzung zuständig. Stellt die Vorinstanz fest, dass die marktbeherrschende Anbieterin die Kostenorientierung nicht eingehalten hat, setzt sie die Preise gemäss Art. 11 a FMG i. V. m. Art. 74 Abs. 3 FDV selber fest. Daraus folgt umgekehrt, dass die offerierten Preise für die Vorinstanz dann verbindlich sind, wenn sie - wie im vorliegenden Fall - das Gebot der Kostenorientierung nicht sprengen. Dass die Vorinstanz selbst in ihrer Duplik festhält, sie habe den Preis nicht verfügt, sondern lediglich der Klarheit halber aufgeführt, ändert an diesem Ergebnis nichts. Massgeblich ist, dass der Preis in der Verfügung verbindlich festgelegt ist.</w:t>
      </w:r>
    </w:p>
    <w:p>
      <w:r>
        <w:rPr>
          <w:b/>
        </w:rPr>
        <w:t>E. 13.10</w:t>
      </w:r>
    </w:p>
    <w:p>
      <w:r>
        <w:t>Die Beschwerde erweist sich damit in diesem Punkt als unbegründet und ist abzuweisen.</w:t>
      </w:r>
    </w:p>
    <w:p>
      <w:r>
        <w:rPr>
          <w:b/>
        </w:rPr>
        <w:t>E. 14.1</w:t>
      </w:r>
    </w:p>
    <w:p>
      <w:r>
        <w:t>Die Beschwerdeführerin bestreitet die Zuständigkeit der Vorinstanz, die Preise für Supplementary Services festzulegen und beantragt die Aufhebung der angefochtenen Verfügung im IC-Verfahren, soweit darin Preise für diese Dienstleistungen festgelegt wurden. Sie macht geltend, diese Dienste würden nicht der Interkonnektionspflicht unterliegen, da sie für ein fernmeldetechnisches und logisches Zusammenwirken der verbundenen Dienste sowie für den Zugang der Endkunden zu Diensten der anderen FDA nicht notwendig seien, mithin keine Dienstleistungen der IC im Sinne von Art. 3 Bst. e FMG darstellten. Der Umstand, dass nicht alle FDA Supplementary Services beziehen würden, zeige, dass diese für die Erbringung von Fernmeldediensten nicht zwingend erforderlich seien. Bis ins Jahr 2000 seien überhaupt keine Supplementary Services angeboten worden, aufgrund einer Weisung des BAKOM habe sie die Daten zudem bis zur Änderung der FDV vom 19. Januar 2009 nicht verwenden dürfen. Ein reguliertes Angebot hätten die FDA erst ab dem 1. Januar 2004 verlangt. Trotzdem sei auf dem Fernmeldemarkt wirksamer Wettbewerb entstanden. Dies alles zeige, dass es sich bei den Supplementary Services nicht um regulierbare IC handeln könne, die eine marktbeherrschende Anbieterin ihren Konkurrenten im Rahmen der IC anbieten müsse. Die Beschwerdeführerin führt weiter aus, Voraussetzung einer Regulierung sei eine marktbeherrschende Stellung. Im Bereich der Supplementary Services sei sie aber nicht marktbeherrschend. Die Vorinstanz habe ohne die notwendigen Sachverhaltsabklärungen eine Marktbeherrschung angenommen und sich mit den Vorbringen der Beschwerdeführerin gar nicht auseinandergesetzt. Die FDA könnten die fraglichen Daten selbst beschaffen und seien nicht auf die Supplementary Services angewiesen. So würden die wesentlichen Daten im Rahmen der CPS Dienstleistungen ohnehin in elektronischer Form geliefert. Das Abwandern von Kunden zu andern FDA könne anhand der Kündigung oder aber durch einfaches Nachfragen bei fehlendem Traffic erfolgen. Ob und zu welchen Kosten eine effiziente FDA die Daten selbst beschaffen könne, habe die Vorinstanz nicht abgeklärt. Die Beschwerdeführerin könne sich angesichts der Möglichkeit zur Eigenproduktion auf dem Markt nicht unabhängig verhalten. Zudem habe die Vorinstanz in einer undifferenzierten Pauschalbetrachtung angenommen, die Beschwerdeführerin sei bei allen Supplementary Services marktbeherrschend. Einzelne der Dienstleistungen würden aber deutlich weniger nachgefragt. Daraus sei erkennbar, dass die betreffenden Daten auf andere Weise beschafft würden oder nicht notwendig seien. Weiter führt die Beschwerdeführerin aus, die Vorinstanz habe wie die WEKO zu Unrecht aus dem engen Sachzusammenhang der CPS und der Supplementary Services geschlossen, dass eine marktbeherrschende Stellung bei der CPS auch eine marktbeherrschende Stellung bei den Supplementary Services bedeute. Die beiden Leistungen bildeten entgegen der Auffassung der Vorinstanz keinen Systemmarkt. Selbst wenn von einem Systemmarkt ausgegangen werde, könnten aber die Supplementary Services von andern Marktteilnehmern unabhängig von der Grundleistung CPS angeboten werden. Es treffe zu, dass Supplementary Services nur von FDA bezogen würden, die auch CPS-Kunden seien. Dies bedeute aber nicht, dass für die Supplementary Services kein eigenständiger Markt bestehe. Schliesslich sei zu beachten, dass die Beschwerdeführerin zur Frage der Marktbeherrschung nicht beweisbelastet sei.</w:t>
      </w:r>
    </w:p>
    <w:p>
      <w:r>
        <w:rPr>
          <w:b/>
        </w:rPr>
        <w:t>E. 14.2</w:t>
      </w:r>
    </w:p>
    <w:p>
      <w:r>
        <w:t>Die Vorinstanz bringt vor, die Unterscheidung zwischen den Dienstleistungen im Rahmen der CPS und den Supplementary Services sei ein Entscheid der Beschwerdeführerin und sachlich nicht zu rechtfertigen. Die Beschwerdeführerin biete die Dienstleistung zu massiv überhöhten Preisen an, weshalb sie von verschiedenen Anbietern nicht bezogen würden. Daraus könne aber nicht geschlossen werden, dass es sich nicht um der Regulierung unterliegende Interkonnektionsleistungen handle. Da die Supplementary Services ein Bestandteil der CPS-Dienstleistungen seien, müsse die Frage der Marktbeherrschung nicht gesondert betrachtet werden. Die Beschwerdeführerin verfüge als einzige über die zugrundeliegenden Daten, deshalb sei nur sie in der Lage, die Supplementary Services mit einem vertretbaren Kosten-/Nutzenverhältnis anzubieten. Dies sei auch ohne weitere Abklärungen ersichtlich.</w:t>
      </w:r>
    </w:p>
    <w:p>
      <w:r>
        <w:rPr>
          <w:b/>
        </w:rPr>
        <w:t>E. 14.3</w:t>
      </w:r>
    </w:p>
    <w:p>
      <w:r>
        <w:t>Die Beschwerdegegnerin wendet ein, die umstrittenen Supplementary Services seien unter anderem auf ihr Drängen hin entwickelt worden. Dass die Dienstleistungen den dynamischen Marktentwicklungen angepasst würden, sei für den Telekommunikationssektor typisch. Dies deute nicht darauf hin, dass die Dienste nicht zu den Interkonnektionsleistungen gehörten. Auch aus dem Umstand, dass ein Teil der FDA keine dieser Dienste beziehen würde, könne nicht geschlossen werden, dass diese nicht zum Grundangebot gehörten beziehungsweise dass sie durch Eigenleistungen substituierbar seien. Angesichts der massiv überhöhten Preise der Beschwerdeführerin müssten viele FDA unter Inkaufnahme von Wettbewerbsnachteilen auf eine Inanspruchnahme der Dienste verzichten. Die Dienste seien wohl technisch für die IC nicht zwingend, für ein wirtschaftlich vernünftiges Kundenmanagement aber notwendig. Da die Informationen der Beschwerdeführerin selbst zur Verfügung stünden, seien sie aufgrund des Diskriminierungsverbots auch den Konkurrentinnen zu liefern. Die von der Beschwerdeführerin als Substitut angeführte Eigenproduktion der Daten sei völlig realitätsfremd und unwirtschaftlich. Weiter führt die Beschwerdegegnerin aus, die Marktabgrenzung der Vorinstanz sei nicht zu beanstanden. Die Supplementary Services hätten keine eigenständige Bedeutung, sondern seien als Teil der CPS-Dienste zu sehen. Es sei nicht zu bestreiten, dass die Beschwerdeführerin auf diesem Markt beherrschend sei. Die Supplementary Services würden die Nutzung der Hauptleistung - CPS - erst möglich machen. Es handle sich damit nicht um ein eigenständiges Angebot, sondern um eine Nebenleistung der CPS. Dienstleistungen, die für ein gesetzeskonformes Funktionieren der gesetzlich vorgesehenen Zugangsformen nötig seien, seien der Regulierung zu unterstellen.</w:t>
      </w:r>
    </w:p>
    <w:p>
      <w:r>
        <w:rPr>
          <w:b/>
        </w:rPr>
        <w:t>E. 14.4</w:t>
      </w:r>
    </w:p>
    <w:p>
      <w:r>
        <w:t>Im Rahmen des vorinstanzlichen Verfahrens erstattete die WEKO ein Gutachten zur Frage der marktbeherrschenden Stellung der Beschwerdeführerin im Bereich der Supplementary Services. Sie hielt darin fest, die Nachfrage nach Supplementary Services stehe in einem derart engen Zusammenhang mit der CPS, dass die Dienstleistungen im Rahmen der Marktabgrenzung nicht isoliert betrachtet werden könnten. Bei der Marktabgrenzung im Bereich der Teilnehmeranschlüsse seien die Nachfrage der Endkunden nach einem Telefonanschluss einerseits und die Nachfrage der FDA nach Zugang zu den Anschlüssen (Wholesalestufe) zu unterscheiden. Bei der CPS, die zum Wholesalebereich gehöre, sei die Beschwerdeführerin die einzige schweizweit flächendeckend tätige Anbieterin. Auch aus dem Endkundenmarkt (namentlich aus der Konkurrenz durch Kabelnetzbetreiberinnen) und möglichen künftigen Markteintritten anderer Anbieter erwachse kein Wettbewerbsdruck, der disziplinierend auf den Wholesalemarkt wirke. Die Beschwerdeführerin sei aus diesen Gründen bei der CPS und damit auch bei den Supplementary Services marktbeherrschend. In ihrer Stellungnahme vom 11. Juni 2009 im Rahmen des Beschwerdeverfahrens hält sie weiter fest, für die Supplementary Services bestehe keine unabhängige Nachfrage, diese bildeten keinen eigenständigen Markt. Es bestehe keine Ausweichmöglichkeit, so dass die FDA bei überhöhten Preisen nur auf einen Bezug der Dienstleistungen verzichten könnten. Es sei unrealistisch, dass die FDA die Daten selbst mit vertretbarem Aufwand beschaffen könnten. Auch wenn mit der Beschwerdeführerin von einem Systemmarkt ausgegangen würde, wäre eine marktbeherrschende Stellung im Sekundärmarkt (Supplementary Services) anzunehmen. Die unbestrittene Marktbeherrschung im Primärmarkt ändere dies nicht, sondern stärke die Marktstellung eher.</w:t>
      </w:r>
    </w:p>
    <w:p>
      <w:r>
        <w:rPr>
          <w:b/>
        </w:rPr>
        <w:t>E. 14.5</w:t>
      </w:r>
    </w:p>
    <w:p>
      <w:r>
        <w:t>Eine Leistung der Beschwerdeführerin unterliegt unter zwei Voraussetzungen der Regulierung. Zunächst ist zu prüfen, ob es sich um eine Interkonnektionsleistung im Sinne von Art. 3 Bst. e FMG handelt. Wird dies bejaht, ist weiter festzustellen, ob die Beschwerdeführerin im fraglichen Markt eine marktbeherrschende Stellung hat. Die Beschwerdeführerin bestreitet das Vorliegen beider Voraussetzungen.</w:t>
      </w:r>
    </w:p>
    <w:p>
      <w:r>
        <w:rPr>
          <w:b/>
        </w:rPr>
        <w:t>E. 14.6</w:t>
      </w:r>
    </w:p>
    <w:p>
      <w:r>
        <w:t>Gemäss Art. 3 Bst. e FMG umfasst die IC die Herstellung des Zugangs durch die Verbindung der Anlagen und Dienste zweier Anbieterinnen von Fernmeldediensten, damit ein fernmeldetechnisches und logisches Zusammenwirken der verbundenen Teile und Dienste sowie der Zugang zu Diensten Dritter ermöglicht wird. Art. 61 FDV umschreibt die im Rahmen der IC anzubietenden Leistungen näher. Demnach bietet die marktbeherrschende Anbieterin mindestens folgende Interkonnektionsdienste an: die Erzeugung, die Terminierung und den Transit der Verbindungen; die Identifikation des anrufenden und des verbundenen Anschlusses sowie die Unterdrückung dieser Identifikation; den Zugang zu den Mehrwertdiensten 08xx und 09xx; die physische Verbindung von Fernmeldeanlagen verschiedener Anbieterinnen, die für die Verbindung von Diensten notwendig ist. Die vorliegend zu beurteilenden Dienste sind damit in der Umschreibung der der Regulierung unterliegenden Interkonnektionsdienstleistungen nicht ausdrücklich enthalten. Art. 61 Abs. 2 FDV nennt indessen nur den Mindestumfang des Angebots, ist mithin nicht abschliessend. Wie das BGer in BGE 132 II 284 E. 6.2 festgestellt hat, ist die Vorinstanz im Rahmen des Zugangsverfahrens nicht nur zur Regelung der Hauptleistungen, sondern auch der Nebenbedingungen der IC zuständig. Die Vorinstanz ist gemäss Art. 11a Abs. 1 FMG zuständig, die Bedingungen des Zugangs zu verfügen. Eine Einschränkung auf die Hauptpunkte besteht nicht. Zu den fraglichen Bedingungen zählen vielmehr sämtliche Punkte, die in einem sachlichen Zusammenhang zur IC stehen. Dass dazu neben technischen Regelungen auch Bestimmungen zur Abwicklung des Vertragsverhältnisses (etwa zur Gewährleistung oder Haftung) gehören, ist in diesem Sinne sachlich begründet. Aus diesen Überlegungen lässt sich auch eine Pflicht der Beschwerdeführerin zur Erbringung von Nebenleistungen ableiten (AMGWERD, a. a. O., Rz. 281; vgl. auch E. 12.4). Die Pflicht zur Erbringung einer Nebenleistung ist dann zu fordern, wenn diese - objektiv betrachtet - den Bezug der Hauptleistung erst ermöglicht oder diese in sinnvoller Weise nutzbar macht. Es genügt aber nicht, wenn die Nebenleistung in einem sachlichen Kontext zur Hauptleistung steht, vielmehr muss auch eine gewisse Abhängigkeit gegeben sein. Es muss sich um eine wesentliche, für den nachfragenden Anbieter für die Nutzung der Hauptleistung erforderliche Nebenleistung handeln, welche nicht auf zumutbare Art substituierbar ist. Bei Nebenleistungen, die den Bezug der Hauptleistung zwar erleichtern, die in vergleichbarer Form aber anderweitig bezogen werden können, besteht keine Angebotspflicht (AMGWERD, a. a. O., Rz. 281).</w:t>
      </w:r>
    </w:p>
    <w:p>
      <w:r>
        <w:rPr>
          <w:b/>
        </w:rPr>
        <w:t>E. 14.7.1</w:t>
      </w:r>
    </w:p>
    <w:p>
      <w:r>
        <w:t>Ein enger Sachzusammenhang zwischen den Supplementary Services und der Hauptleistung CPS ist offensichtlich. Die Beschwerdeführerin macht nun aber geltend, die Nutzung der CPS sei auch ohne Supplementary Services möglich. Dies zeige bereits der Umstand, dass eine Vielzahl von FDA keine Supplementary Services beziehen würden. Die Supplementary Services sind zwar für das technische Zusammenwirken der Netze nicht zwingend notwendig. Die Regulierung von Art. 11 ff. FMG bezweckt jedoch nicht nur die rein technische IC, sondern auch die Schaffung von Bedingungen für alternative Anbieter, die einen wirksamen Wettbewerb ermöglichen. Vor dem Hintergrund dieses Regulierungszwecks sind auch Nebenleistungen, die für eine wirtschaftliche Nutzung der Hauptleistung notwendig erscheinen, als Bestandteil der Interkonnektionsdienstleistungen zu betrachten. Unter wirtschaftlichen Gesichtspunkten erscheint es notwendig, über die für die Bewirtschaftung des Endkundenstammes erforderlichen Daten zu verfügen. Die Supplementary Services sind daher als Bestandteil der Interkonnektionsdienstleistungen zu betrachten. Daran ändert auch nichts, dass - wie von der Beschwerdeführerin geltend gemacht - CPS zunächst ohne Supplementary Services angeboten und genutzt wurde und dass verschiedene FDA keine Supplementary Services beziehen. Die Beschwerdegegnerin weist zu Recht darauf hin, dass der Telekommunikationsmarkt eine grosse Dynamik aufweist und sich auch die Angebote in einem raschen Wandel befinden. Es leuchtet deshalb ein, dass Dienstleistungen wie die Supplementary Services erst bei einer entsprechenden Nachfrage entwickelt werden und gleichwohl für eine wirtschaftlich sinnvolle Geschäftstätigkeit notwendig sind. Werden sie im Rahmen eines nicht regulierten Angebots trotzdem nicht von allen FDA genutzt, kann dies - wie die WEKO zu Recht festhält - allenfalls ein Hinweis auf überhöhte Preise der Beschwerdeführerin sein, weitere Schlüsse lassen sich daraus indes nicht ziehen.</w:t>
      </w:r>
    </w:p>
    <w:p>
      <w:r>
        <w:rPr>
          <w:b/>
        </w:rPr>
        <w:t>E. 14.7.2</w:t>
      </w:r>
    </w:p>
    <w:p>
      <w:r>
        <w:t>Weiter macht die Beschwerdeführerin geltend, die FDA könnten die im Rahmen der Supplementary Services zur Verfügung gestellten Informationen auch anhand der verschiedenen im Rahmen der CPS gelieferten Daten und mit eigenen Nachforschungen beschaffen. Die Leistungen seien damit substituierbar und nicht als Nebenleistungen der IC zu betrachten. Es trifft zu, dass zumindest teilweise eine Beschaffung der Daten auch ohne Supplementary Services denkbar ist. Die von der Beschwerdeführerin aufgezeigten Möglichkeiten der Eigenbeschaffung scheinen aber ineffizient, fehleranfällig, nicht praktikabel und kostenintensiv zu sein. Andere vertretbare Beschaffungsmöglichkeiten der Informationen sind nicht erkennbar. Es ist deshalb nicht zu beanstanden, dass die Vorinstanz auch ohne weitere Abklärungen davon ausgegangen ist, die Dienstleistungen seien nicht substituierbar. Sie sind damit als Nebenleistungen der IC zu betrachten und unterliegen der Regulierung.</w:t>
      </w:r>
    </w:p>
    <w:p>
      <w:r>
        <w:rPr>
          <w:b/>
        </w:rPr>
        <w:t>E. 14.7.3</w:t>
      </w:r>
    </w:p>
    <w:p>
      <w:r>
        <w:t>Die Beschwerdeführerin bringt allerdings in diesem Zusammenhang - unter Hinweis auf ein eingereichtes Rechtsgutachten - vor, das BAKOM habe (noch vor Inkrafttreten der heutigen Fassung von Art. 65 Abs. 3 FDV) ihr in einem aufsichtsrechtlichen Verfahren untersagt, Daten zu verwenden, die ihr im Zusammenhang mit der Abwicklung der IC bekannt geworden seien. Die damalige Eidgenössische Rekurskommission für Infrastruktur und Umwelt (REKO/INUM) habe diese Anordnung im Entscheid F-2002-87 vom 20. August 2003 geschützt. Es sei widersprüchlich, wenn ihr zum einen die Verwendung von Informationen untersagt werde, diese aber als Bestandteil der Interkonnektionsdienstleistungen betrachtet würden. Daran ändere auch die Revision der FDV nichts, welche die Verwendung von Informationen über Teilnehmende regle. Auch wenn die Informationen - abgesehen von bestimmten Ausnahmen - nur im Zusammenhang mit der Abwicklung des Interkonnektionsverhältnisses verwendet werden dürften, würden die Supplementary Services dadurch nicht zu Bestandteilen der Interkonnektionsdienste. Vielmehr mache der Wortlaut von Art. 65 FDV deutlich, dass eine über die Abwicklung des Interkonnektionsverhältnisses hinausgehende Verwendung der Informationen geregelt werde. Dieser Argumentation kann nicht gefolgt werden. Die Verwendung von Daten im Zusammenhang mit der Abwicklung des Zugangsverhältnisses oder die Bewirtschaftung der Kundendaten im Rahmen von CPS Verhältnissen war gerade nicht Gegenstand des Entscheids der REKO/INUM F-2002-87 vom 20. August 2003. Vielmehr war darin die Verwendung von Daten zu anderen, kommerziellen Zwecken zu beurteilen. Auch aus Art. 65 FDV kann die Beschwerdeführerin nichts zu ihren Gunsten ableiten. Art. 65 Abs. 2 und 3 FDV regeln die Verwendung und die Vertraulichkeit von Daten, die eine Anbieterin im Zusammenhang mit der Abwicklung eines Zugangsverhältnisses erhält. In der heutigen Fassung von Art. 65 Abs. 3 FDV wird die Verwendung der Informationen, ob eine Kundin oder ein Kunde eine Anbieterin für nationale und internationale Verbindungen frei gewählt oder eine solche Wahl gelöscht hat, ausdrücklich geregelt. Dabei wird festgehalten, die Verwendung dieser Informationen sei zulässig, soweit sie allen Anbieterinnen gleichermassen zur Verfügung stünden. Die Informationen werden mithin systematisch in den Zusammenhang mit der Abwicklung des Zugangsverhältnisses gestellt und die Verwendung der Daten wird diskriminierungsfrei geregelt. Beides zeigt, dass der Verordnungsgeber die Informationen nicht als beliebige Zusatzdienste betrachtet, sondern einen engen Zusammenhang zu den Zugangsdienstleistungen sieht.</w:t>
      </w:r>
    </w:p>
    <w:p>
      <w:r>
        <w:rPr>
          <w:b/>
        </w:rPr>
        <w:t>E. 14.7.4</w:t>
      </w:r>
    </w:p>
    <w:p>
      <w:r>
        <w:t>In einem ersten Schritt kann damit festgestellt werden, dass die Supplementary Services in den Anwendungsbereich von Art. 11 f. FMG fallen und unter gegebenen Voraussetzungen einer Regulierung unterworfen sind.</w:t>
      </w:r>
    </w:p>
    <w:p>
      <w:r>
        <w:rPr>
          <w:b/>
        </w:rPr>
        <w:t>E. 14.8</w:t>
      </w:r>
    </w:p>
    <w:p>
      <w:r>
        <w:t>Eine Pflicht, Zugang zu gewähren, besteht indessen nur, wenn eine Anbieterin marktbeherrschend ist. Die Marktbeherrschung ist nicht eine Eigenschaft des Unternehmens an sich, sondern bezieht sich auf dessen Marktmacht in einem bestimmten Dienste-Markt (Botschaft zum FMG, BBl 2003 I 7972). Es ist damit zunächst eine Marktabgrenzung vorzunehmen und anschliessend festzustellen, ob die Anbieterin im abgegrenzten Markt marktbeherrschend ist.</w:t>
      </w:r>
    </w:p>
    <w:p>
      <w:r>
        <w:rPr>
          <w:b/>
        </w:rPr>
        <w:t>E. 14.8.1</w:t>
      </w:r>
    </w:p>
    <w:p>
      <w:r>
        <w:t>Für die Beurteilung der Frage, ob eine Anbieterin auf dem relevanten Markt gemäss Art. 11 FMG eine beherrschende Stellung einnimmt, ist auf die entsprechende Definition im KG abzustellen (BVGE 2009/35 E. 8.4.1). Gemäss Art. 4 Abs. 2 KG gelten als marktbeherrschende Unternehmen einzelne oder mehrere Unternehmen, die auf einem Markt als Anbieter oder Nachfrager in der Lage sind, sich von andern Marktteilnehmern (Mitbewerbern, Anbietern oder Nachfragern) in wesentlichem Umfang unabhängig zu verhalten (vgl. BVGE 2009/63 E. 4.4; zur Begriffserweiterung durch die Kartellgesetzrevision 2003 vgl. ROGER ZÄCH, Schweizerisches Kartellrecht, 2. Aufl., Bern 2005, S. 277 ff.). Um diese Frage zu klären, ist einerseits der sachlich relevante, andererseits der räumlich relevante Markt zu bestimmen (ROGER ZÄCH/RETO A. HEIZMANN, in: Thomas Geiser/Patrick Krauskopf/Peter Münch [Hrsg.], Markt und Marktmacht, Handbücher für die Anwaltspraxis, Schweizerisches und europäisches Wettbewerbsrecht, Bd. IX, Basel/Genf/München 2005, S. 34, 37; RETO A. HEIZMANN, Der Begriff des marktbeherrschenden Unternehmens im Sinne von Art. 4 Abs. 2 in Verbindung mit Art. 7 KG, Zürich/Basel/Genf 2005, Rz. 179 ff., 277 f., 750; CHRISTOPH LÜSCHER, Kleines Glossar der Fehlvorstellungen über Marktbeherrschung, deren Missbrauch und Rechtfertigung, veröffentlicht in Jusletter vom 2. November 2009, Rz. 34). Der sachlich relevante Markt umfasst in analoger Anwendung von Art. 11 Abs. 3 Bst. a der Verordnung vom 17. Juni 1996 über die Kontrolle von Unternehmenszusammenschlüssen (SR 251.4, nachfolgend: VKU) alle Waren oder Leistungen, die von der Marktgegenseite hinsichtlich ihrer Eigenschaften und ihres vorgesehenen Verwendungszwecks als substituierbar angesehen werden. Der räumlich relevante Markt umfasst das Gebiet, in welchem die Marktgegenseite die den sachlichen Markt umfassenden Waren oder Leistungen nachfragt oder anbietet (Art. 11 Abs. 3 Bst. b VKU analog).</w:t>
      </w:r>
    </w:p>
    <w:p>
      <w:r>
        <w:rPr>
          <w:b/>
        </w:rPr>
        <w:t>E. 14.8.2</w:t>
      </w:r>
    </w:p>
    <w:p>
      <w:r>
        <w:t>Unbestritten ist vorliegend der räumlich relevante Markt. Die Parteien gehen in Übereinstimmung mit der Vorinstanz davon aus, dass das Gebiet der Schweiz massgebend ist.</w:t>
      </w:r>
    </w:p>
    <w:p>
      <w:r>
        <w:rPr>
          <w:b/>
        </w:rPr>
        <w:t>E. 14.8.3</w:t>
      </w:r>
    </w:p>
    <w:p>
      <w:r>
        <w:t>Der sachlich relevante Markt ist aus der Optik der Marktgegenseite zu beurteilen, weshalb diese bei jeder Marktabgrenzung vorgängig zu bestimmen ist (HEIZMANN, a. a. O., Rz. 189). Mit dem Begriff der Marktgegenseite ist die Gegenseite derjenigen Unternehmen gemeint, die angeblich marktbeherrschend sind (HEIZMANN, a. a. O., Rz. 280). Marktgegenseite bilden vorliegend daher die FDA, die Nachfrager der Supplementary Services. Die WEKO differenziert praxisgemäss zwischen Retail- und Wholesalemärkten, wenn sich die Nachfrage in den beiden Bereichen bezüglich Eigenschaften und Verwendungszweck in erheblichem Ausmass unterscheidet (Verfügung der WEKO vom 15. Dezember 2003 veröffentlicht in Recht und Politik des Wettbewerbs 2004/2, S. 428). Auf der Wholesale-Ebene fragen die Fernmeldedienstanbieter beim Netzbetreiber Vorleistungsprodukte wie die CPS nach. Basierend auf der CPS bieten die Fernmeldedienstanbieter sodann auf der Retail-Ebene den Endkunden Fernmeldedienste an.</w:t>
      </w:r>
    </w:p>
    <w:p>
      <w:r>
        <w:rPr>
          <w:b/>
        </w:rPr>
        <w:t>E. 14.8.4</w:t>
      </w:r>
    </w:p>
    <w:p>
      <w:r>
        <w:t>Im vorliegenden Fall ist daher der Wholesale- vom Retailmarkt zu unterscheiden. Die Vorinstanz grenzt zu Recht den Wholesalemarkt für CPS-Dienstleistungen als sachlich relevanten Markt ab. Die marktbeherrschende Stellung der Beschwerdeführerin auf einem so abgegrenzten Markt ist offenkundig und unbestritten. Fraglich bleibt aber, ob - wiederum aus der Sicht der Marktgegenseite, das heisst der Wholesalekunden - der Markt der CPS weiter vom Markt für Supplementary Services zu unterscheiden ist. Die WEKO führte dazu aus, zwischen den Supplementary Services und der Grunddienstleistung CPS bestehe ein enger sachlicher Zusammenhang. Eine Nachfrage nach Supplementary Services sei nur im Zusammenhang mit dem Bezug von CPS denkbar. Es könne sich in gewissen Fällen rechtfertigen, die technische Unterstützung für ein bestimmtes Produkt nicht als eigenen sachlich relevanten Markt anzusehen, sondern die Marktabgrenzung hinsichtlich dieses bestimmten Produktes insgesamt (d. h. unter Einbezug von Hauptprodukt und technischer Unterstützung) vorzunehmen. Sie erachtet eine solche Gesamtbetrachtung im vorliegenden Fall als angebracht.</w:t>
      </w:r>
    </w:p>
    <w:p>
      <w:r>
        <w:rPr>
          <w:b/>
        </w:rPr>
        <w:t>E. 14.8.5</w:t>
      </w:r>
    </w:p>
    <w:p>
      <w:r>
        <w:t>Die Beschwerdeführerin wendet dagegen ein, die Vorinstanz sei zu Unrecht von einer Systemmarktbetrachtung ausgegangen und habe aus dieser Betrachtungsweise zudem unzulässige Schlüsse für ihre Marktstellung gezogen. Ein Systemmarkt liege vor, wenn eine Haupt- und eine Nebenleistung gemeinsam angeboten und nachgefragt, so dass die Käufer die Gesamtkosten des Systems in Betracht ziehen würden. Aus einer Systemmarktbetrachtung könne aber nicht geschlossen werden, dass die Nebenleistung nur vom Anbieter der Hauptleistung angeboten werde. Im vorliegenden Zusammenhang könnten aus einer Systemmarktbetrachtung keine Schlüsse gezogen werden.</w:t>
      </w:r>
    </w:p>
    <w:p>
      <w:r>
        <w:rPr>
          <w:b/>
        </w:rPr>
        <w:t>E. 14.8.6</w:t>
      </w:r>
    </w:p>
    <w:p>
      <w:r>
        <w:t>Die Vorbringen der Beschwerdeführerin, die Vorinstanz sei zu Unrecht von einer Systemmarktbetrachtung ausgegangen beziehungsweise habe daraus falsche Schlüsse gezogen, haben für die vorliegend zu beurteilenden Fragen keine Relevanz. Die Vorinstanz hat ihre Haltung nicht mit einer Systemmarktbetrachtung begründet. Zwar verweist die WEKO in ihrem Gutachten auf eine Stelle in der Literatur, die sich zu Systemmärkten äussert. Sie zitiert daraus aber lediglich die - auch ausserhalb von Systemmärkten kaum zu bestreitende - Aussage, es könne sich in gewissen Fällen rechtfertigen, die technische Unterstützung für ein bestimmtes Produkt nicht als eigenen sachlich relevanten Markt anzusehen, sondern die Marktabgrenzung hinsichtlich dieses bestimmten Produkts insgesamt vorzunehmen. Eine weitergehende Bezugnahme auf die Debatte über Systemmärkte erfolgte dagegen zu Recht nicht. Zwar geht es auch dabei um die Frage, unter welchen Umständen der Markt für ein mit einem Hauptprodukt (z. B. Autos) zusammenhängenden Sekundärprodukt (z. B. Ersatzteile für Autos eines bestimmten Typs) abzugrenzen ist. Als massgebend wird dabei aber betrachtet, ob sich der im Sekundärmarkt dominierende Anbieter unabhängig verhalten kann oder ob er gegebenenfalls seine Stellung auf dem Primärmarkt verschlechtern würde. Werden die Kaufentscheidungen der Kunden auf dem Primärmarkt durch die angebotenen Bedingungen auf dem Sekundärmarkt beeinflusst, wird der Anbieter im Sekundärmarkt durch den Wettbewerb auf dem Primärmarkt diszipliniert. Eine solche Situation liegt im vorliegenden Fall nicht vor und wurde auch von keiner Seite geltend gemacht. Die Beschwerdeführerin ist im Primärmarkt unbestritten marktbeherrschend, während zu beurteilen ist, ob ein Sekundärmarkt für Supplementary Services abzugrenzen und die Beschwerdeführerin in diesem wirksamem Wettbewerb ausgesetzt ist. Auf die von der Beschwerdeführerin angesprochene Debatte über Systemmärkte ist daher nicht weiter einzugehen.</w:t>
      </w:r>
    </w:p>
    <w:p>
      <w:r>
        <w:rPr>
          <w:b/>
        </w:rPr>
        <w:t>E. 14.8.7</w:t>
      </w:r>
    </w:p>
    <w:p>
      <w:r>
        <w:t>Die Vorinstanz hat auf die Abgrenzung eines eigenen Marktes verzichtet, da eine Nachfrage nach Supplementary Services nur bestehe, wenn auch die Hauptleistung CPS bezogen würde. Diese Argumentation der Vorinstanz (und der WEKO) scheint nicht in allen Punkten überzeugend. Aus dem - unbestrittenen - Umstand, dass ohne Bezug von CPS keine Nachfrage nach Supplementary Services besteht, kann nicht von vornherein geschlossen werden, es bestehe kein eigener Markt für Supplementary Services. Auch wenn eine Unterstützungsleistung nur nachgefragt wird, wenn ein Hauptprodukt bezogen wird, kann - wie die Beschwerdeführerin anhand von Reparaturleistungen für Aufzüge und Fotoapparate aufzeigt - ein eigenständiger Markt für die Unterstützungsleistung bestehen. Im vorliegenden Fall ist aber eine andere Überlegung ausschlaggebend. Die Zusatzleistungen basieren auf Daten, welche direkt nur der Beschwerdeführerin als Anbieterin der Hauptleistung zur Verfügung stehen. Sie sind sachlich derart eng mit der Abwicklung der Hauptleistung verknüpft, dass sie als dessen Nebenleistungen erscheinen. Dies deutet stark darauf hin, dass die Supplementary Services keinen eigenen Markt bilden.</w:t>
      </w:r>
    </w:p>
    <w:p>
      <w:r>
        <w:rPr>
          <w:b/>
        </w:rPr>
        <w:t>E. 14.9</w:t>
      </w:r>
    </w:p>
    <w:p>
      <w:r>
        <w:t>Ob im vorliegenden Fall tatsächlich eine solche Abgrenzung eines spezifischen Marktes für Supplementary Services angezeigt ist, kann aber - wie nachfolgend zu zeigen sein wird - ohnehin offen bleiben. Die Beschwerdeführerin bestreitet ihre marktbeherrschende Stellung auf dem Markt für Supplementary Services und macht geltend, die in diesem Rahmen gelieferten Daten könnten von der Beschwerdegegnerin (bzw. von dieser beauftragten Dritten) anhand der Daten, die ihr bei der Abwicklung der CPS übermittelt werden, und anhand eigener Abklärungen selbst beschafft werden. Selbst wenn von einem speziellen Markt für Supplementary Services ausgegangen würde, ist aber - wie gezeigt - nicht zu beanstanden, dass die Vorinstanz von einer marktbeherrschenden Stellung der Beschwerdeführerin in diesem Bereich ausgegangen ist. Die von dieser vorgeschlagene Alternative - Beschaffung und Aufbereitung der Daten durch die Beschwerdegegnerin oder Dritte anhand der CPS Daten - ist offensichtlich kein wirtschaftlich sinnvoller Ersatz. Zum einen wäre der bei der Beschwerdegegnerin anfallende Aufwand erheblich grösser als bei einer Datenaufbereitung durch die Beschwerdeführerin, anderseits wäre aufgrund der vorgeschlagenen individuellen Abklärungen mittels Kontrollanrufen die Fehleranfälligkeit deutlich höher. Der Verzicht auf die entsprechenden Daten erscheint als einzige Alternative zum Bezug der Supplementary Services. Für eine wirtschaftliche und effiziente Bewirtschaftung der Kundendaten sind die Daten aber gerade für eine grössere FDA wie die Beschwerdegegnerin notwendig. Die Supplementary Services sind daher als nicht substituierbar zu betrachten.</w:t>
      </w:r>
    </w:p>
    <w:p>
      <w:r>
        <w:rPr>
          <w:b/>
        </w:rPr>
        <w:t>E. 14.10</w:t>
      </w:r>
    </w:p>
    <w:p>
      <w:r>
        <w:t>Die Beschwerdeführerin bringt schliesslich vor, die Vorinstanz hätte die Frage der Marktbeherrschung nicht für die Supplementary Services insgesamt, sondern bezogen auf die einzelnen Dienstleistungen (z. B. Invoice Details for Activation and Relocation, Deactivation Notification, List of Activated Customers, Access Cancellation Notification, Customer Data Check, List of Taken over Access, Slamming Reconfiguration) beurteilen müssen. Die vorstehenden Ausführungen lassen sich indessen sinngemäss auf sämtliche der angebotenen Dienstleistungen übertragen. Zudem gebietet es sich, einzelne, eng zusammenhängende Teilmärkte aus Praktikabilitätsgründen zusammenzufassen um eine übermässige Atomisierung des relevanten Marktes zu vermeiden (AMGWERD, a. a. O., Rz. 200). Angesichts des engen Sachzusammenhangs scheint eine Gesamtbeurteilung vorliegend sachgerecht (BGE 132 II 257 E. 5.2).</w:t>
      </w:r>
    </w:p>
    <w:p>
      <w:r>
        <w:rPr>
          <w:b/>
        </w:rPr>
        <w:t>E. 14.11</w:t>
      </w:r>
    </w:p>
    <w:p>
      <w:r>
        <w:t>Schliesslich bringt die Beschwerdeführerin vor, die Vorinstanz habe ihren Anspruch auf rechtliches Gehör verletzt und den massgebenden Sachverhalt ungenügend abgeklärt, indem sie über die Frage der Marktbeherrschung nicht Beweis geführt habe. Die Beschwerdeführerin macht geltend, in diesem Punkt sei nicht sie, sondern die Vorinstanz beweisbelastet. Zunächst ist dazu festzuhalten, dass die Beschwerdeführerin im CPS-Markt unbestrittenermassen als marktbeherrschend zu betrachten ist. Da die Supplementary Services eng mit der Hauptleistung CPS verknüpft sind und auf Daten basieren, die nur der Beschwerdeführerin zur Verfügung stehen, ist es nicht zu beanstanden, wenn die Vorinstanz sich darauf beschränkt hat, zu prüfen, ob die Supplementary Services durch eine andere Anbieterin oder durch Eigenleistungen der Kundinnen substituierbar sind. Welche weiteren Beweismassnahmen hätten vorgenommen werden müssen, ist nicht ersichtlich. Eine weitere Beweisführung erübrigte sich damit. Eine Verletzung des Gehörsanspruchs liegt demzufolge nicht vor.</w:t>
      </w:r>
    </w:p>
    <w:p>
      <w:r>
        <w:rPr>
          <w:b/>
        </w:rPr>
        <w:t>E. 14.12</w:t>
      </w:r>
    </w:p>
    <w:p>
      <w:r>
        <w:t>Die Vorinstanz ist deshalb zu Recht von einer marktbeherrschenden Stellung der Beschwerdeführerin im Bereich der Supplementary Services ausgegangen und war zur Festsetzung der entsprechenden Preise zuständig. Die Beschwerde erweist sich damit in diesem Punkt als unbegründet und ist abzuweisen.</w:t>
      </w:r>
    </w:p>
    <w:p>
      <w:r>
        <w:rPr>
          <w:b/>
        </w:rPr>
        <w:t>E. 14.13</w:t>
      </w:r>
    </w:p>
    <w:p>
      <w:r>
        <w:t>Weil bei der Beurteilung der marktbeherrschenden Stellung der Beschwerdeführerin keine für die Rechtsfortbildung wesentlichen Fragen zu beantworten waren und auch keine Praxisänderung zur Diskussion stand, besteht kein innergerichtlicher Koordinationsbedarf (vgl. E. 3.4.3).</w:t>
      </w:r>
    </w:p>
    <w:p>
      <w:r>
        <w:rPr>
          <w:b/>
        </w:rPr>
        <w:t>E. 15</w:t>
      </w:r>
    </w:p>
    <w:p>
      <w:r>
        <w:t>Die Beschwerde erweist sich somit als teilweise begründet. Die Verfügungen sind aufzuheben, soweit die Vorinstanz darin eine Drittwirkungsklausel aufgehoben (...) beziehungsweise den Antrag auf Verfügung einer Drittwirkungsklausel abgewiesen (...) hat. Das IC-Verfahren ist zur Verfügung einer Drittwirkungsklausel an die Vorinstanz zurückzuweisen. Im Rahmen der Drittwirkungsklausel wird auch die Frage der Verzinsung von drittwirkungsbedingten Rückzahlungen zu regeln sein. Weiter ist Ziff. 7 der KOL-Verfügung aufzuheben, soweit darin die Beschwerdeführerin angewiesen wird, Bestimmungen aus Verträgen mit Dritten zu entfernen. Abzuweisen sind die Beschwerden dagegen, soweit die Aufhebung beziehungsweise Anpassung des verfügten Zinssatzes für Rück- und Nachzahlungen, die Neufestsetzung des Preises für die erstmalige Implementierung der Nummernportierungsroutingnummer sowie die Aufhebung der verfügten Preise für Supplementary Services for Carrier Preselection beantragt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